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spacing w:lineRule="auto" w:line="240"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eastAsia="Batang"/>
          <w:color w:val="000000" w:themeColor="text1"/>
          <w:sz w:val="28"/>
          <w:lang w:eastAsia="ru-RU"/>
        </w:rPr>
        <w:t xml:space="preserve">Д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одаток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 рішення 15 сесії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Менської міської ради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8 скликання</w:t>
      </w:r>
      <w:r>
        <w:rPr>
          <w:sz w:val="28"/>
        </w:rPr>
      </w:r>
      <w:r/>
    </w:p>
    <w:p>
      <w:pPr>
        <w:ind w:left="5954"/>
        <w:jc w:val="both"/>
        <w:spacing w:lineRule="auto" w:line="240" w:after="0"/>
        <w:rPr>
          <w:rFonts w:ascii="Times New Roman" w:hAnsi="Times New Roman" w:eastAsia="Batang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09 грудня 2021 р.  №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819</w:t>
      </w:r>
      <w:r>
        <w:rPr>
          <w:sz w:val="28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5954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ПРОГРАМА 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організації харчування дітей у закладах 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загальної середньої освіти 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Менської міської ради 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  <w:t xml:space="preserve">на 2022-2024 роки</w:t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spacing w:lineRule="auto" w:line="240" w:after="0"/>
        <w:rPr>
          <w:rFonts w:ascii="Times New Roman" w:hAnsi="Times New Roman" w:eastAsia="Batang"/>
          <w:b/>
          <w:sz w:val="28"/>
          <w:szCs w:val="20"/>
          <w:lang w:eastAsia="ru-RU"/>
        </w:rPr>
      </w:pPr>
      <w:r>
        <w:rPr>
          <w:rFonts w:ascii="Times New Roman" w:hAnsi="Times New Roman" w:eastAsia="Batang"/>
          <w:b/>
          <w:sz w:val="28"/>
          <w:szCs w:val="20"/>
          <w:lang w:eastAsia="ru-RU"/>
        </w:rPr>
      </w:r>
      <w:r/>
    </w:p>
    <w:p>
      <w:pPr>
        <w:ind w:right="-141"/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Мена 2021</w:t>
      </w:r>
      <w:r/>
    </w:p>
    <w:p>
      <w:pPr>
        <w:ind w:right="-141"/>
        <w:jc w:val="center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br w:type="page"/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1. ПАСПОРТ ПРОГРАМИ</w:t>
      </w:r>
      <w:r/>
    </w:p>
    <w:tbl>
      <w:tblPr>
        <w:tblW w:w="9904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25"/>
        <w:gridCol w:w="1877"/>
        <w:gridCol w:w="1862"/>
        <w:gridCol w:w="1864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організації харчування у закладах загальної середньої освіти Менської міської ради на 2022-2024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381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Підстави для розробки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pStyle w:val="880"/>
              <w:ind w:firstLine="450"/>
              <w:jc w:val="both"/>
              <w:spacing w:lineRule="auto" w:line="240" w:after="0" w:afterAutospacing="0" w:before="0" w:beforeAutospacing="0"/>
              <w:shd w:val="clear" w:fill="FFFFFF" w:color="auto"/>
              <w:rPr>
                <w:rFonts w:eastAsia="Batang"/>
                <w:sz w:val="28"/>
                <w:szCs w:val="28"/>
                <w:lang w:eastAsia="ru-RU"/>
              </w:rPr>
            </w:pPr>
            <w:r>
              <w:rPr>
                <w:rFonts w:eastAsia="Batang"/>
                <w:sz w:val="28"/>
                <w:szCs w:val="28"/>
                <w:lang w:eastAsia="ru-RU"/>
              </w:rPr>
              <w:t xml:space="preserve">Закони України «Про освіту», «Про повну загальну середню освіту», «Про охорону дитинства», </w:t>
            </w:r>
            <w:r>
              <w:rPr>
                <w:sz w:val="28"/>
                <w:szCs w:val="28"/>
                <w:lang w:eastAsia="ru-RU"/>
              </w:rPr>
              <w:t xml:space="preserve">«</w:t>
            </w:r>
            <w:r>
              <w:rPr>
                <w:bCs/>
                <w:sz w:val="28"/>
                <w:szCs w:val="28"/>
                <w:shd w:val="clear" w:fill="FFFFFF" w:color="auto"/>
              </w:rPr>
              <w:t xml:space="preserve">Про державну соціальну допомогу малозабезпеченим сім’ям»,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color w:val="333333"/>
                <w:sz w:val="28"/>
                <w:szCs w:val="28"/>
              </w:rPr>
              <w:t xml:space="preserve">“Про статус і соціальний захист громадян, які постраждали внаслідок Чорнобильської катастрофи”, “Про статус ветеранів війни, гарантії їх соціального захисту”,</w:t>
            </w:r>
            <w:r>
              <w:rPr>
                <w:rFonts w:eastAsia="Batang"/>
                <w:color w:val="7B7B7B" w:themeColor="accent3" w:themeShade="B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№474-І</w:t>
            </w:r>
            <w:r>
              <w:rPr>
                <w:rFonts w:eastAsia="Batang"/>
                <w:sz w:val="28"/>
                <w:szCs w:val="28"/>
                <w:lang w:val="en-US" w:eastAsia="ru-RU"/>
              </w:rPr>
              <w:t xml:space="preserve">X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«Про внесення змін до деяких законів України щодо забезпечення безкоштовним харчуванням дітей, один з батьків яких загинув (пропав безвісти), помер під час захисту незалежності та суверенітету України» від 05.11.2020 №978-І</w:t>
            </w:r>
            <w:r>
              <w:rPr>
                <w:rFonts w:eastAsia="Batang"/>
                <w:sz w:val="28"/>
                <w:szCs w:val="28"/>
                <w:lang w:val="en-US" w:eastAsia="ru-RU"/>
              </w:rPr>
              <w:t xml:space="preserve">X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«Про місцеве самоврядування в Україні,</w:t>
            </w:r>
            <w:r>
              <w:rPr>
                <w:rFonts w:eastAsia="Batang"/>
                <w:color w:val="7B7B7B" w:themeColor="accent3" w:themeShade="BF"/>
                <w:sz w:val="28"/>
                <w:szCs w:val="28"/>
                <w:shd w:val="clear" w:fill="FFFFFF" w:color="auto"/>
                <w:lang w:eastAsia="ru-RU"/>
              </w:rPr>
              <w:t xml:space="preserve"> п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останови Кабінету Міністрів Укра</w:t>
            </w:r>
            <w:r>
              <w:rPr>
                <w:rFonts w:eastAsia="Batang"/>
                <w:color w:val="000000" w:themeColor="text1"/>
                <w:sz w:val="28"/>
                <w:szCs w:val="28"/>
                <w:lang w:eastAsia="ru-RU"/>
              </w:rPr>
              <w:t xml:space="preserve">їни від 02.02.2011 №116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</w:t>
            </w:r>
            <w:r>
              <w:rPr>
                <w:sz w:val="28"/>
                <w:szCs w:val="28"/>
              </w:rPr>
              <w:t xml:space="preserve"> 24.03.2021 року №305 «Про затвердження норм та Порядку організації харчування у закладах освіти та дитячих закладах оздоровлення та </w:t>
            </w:r>
            <w:r>
              <w:rPr>
                <w:sz w:val="28"/>
                <w:szCs w:val="28"/>
              </w:rPr>
              <w:t xml:space="preserve">відпочинку» (зі змінами)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, від 18.01.2016 р.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 №16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рішення дванадцятої сесії восьмо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го скликання Менської міської ради №597 від 26.10.2021 року «Про переведення закладів загальної середньої, дошкільної, позашкільної освіти, Степанівського міжшкільного навчально-виробничого комбінату та Комунальної установи «Менський інклюзивно-ресурсний ц</w:t>
            </w:r>
            <w:r>
              <w:rPr>
                <w:rFonts w:eastAsia="Batang"/>
                <w:sz w:val="28"/>
                <w:szCs w:val="28"/>
                <w:lang w:eastAsia="ru-RU"/>
              </w:rPr>
              <w:t xml:space="preserve">ентр» Менської міської ради Чернігівської області на умови самостійного ведення господарської діяльності та бухгалтерського обліку», №596 «Про створення Комунальної установи «Центр з обслуговування освітніх установ та закладів освіти Менської міської ради»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2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vAlign w:val="bottom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ради, заклади загальної середньої освіти, фінансове управління Менської міської ради, Комунальна установа «Центр з обслуговування освітніх установ та закладів освіти» </w:t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Дія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vAlign w:val="bottom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Дія програми поширюється на територію населених пунктів, які увійшли до складу Менської міської територіальної громади</w:t>
            </w:r>
            <w:r/>
          </w:p>
        </w:tc>
      </w:tr>
      <w:tr>
        <w:trPr>
          <w:jc w:val="center"/>
          <w:trHeight w:val="3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Строк реалізації Програми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2022-2024 роки</w:t>
            </w:r>
            <w:r/>
          </w:p>
        </w:tc>
      </w:tr>
      <w:tr>
        <w:trPr>
          <w:jc w:val="center"/>
          <w:trHeight w:val="3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Джерела фінансування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 Менської міської територіальної громади, інші джерела фінансування, не заборонені законодавством України</w:t>
            </w:r>
            <w:r/>
          </w:p>
        </w:tc>
      </w:tr>
      <w:tr>
        <w:trPr>
          <w:jc w:val="center"/>
          <w:trHeight w:val="3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Обсяги фінансування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03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Обсяг коштів визначається рішенням сесії міської ради на відповідний рік</w:t>
            </w:r>
            <w:r/>
          </w:p>
        </w:tc>
      </w:tr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Загальний орієнтовний обсяг фінансових ресурсів, необхідних для реалізації програми на 2022-2024 роки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рік 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 w:afterAutospac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рік 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рік (грн)</w:t>
            </w:r>
            <w:r/>
          </w:p>
        </w:tc>
      </w:tr>
      <w:tr>
        <w:trPr>
          <w:jc w:val="center"/>
          <w:trHeight w:val="16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програми, всього:</w:t>
            </w:r>
            <w:r/>
          </w:p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3 528 940,00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4 398 675,00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5 268 410, 00</w:t>
            </w:r>
            <w:r/>
          </w:p>
        </w:tc>
      </w:tr>
      <w:tr>
        <w:trPr>
          <w:jc w:val="center"/>
          <w:trHeight w:val="6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бюджету Менської міської ТГ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2 355 920,00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2 944 900,00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3 533 880,00</w:t>
            </w:r>
            <w:r/>
          </w:p>
        </w:tc>
      </w:tr>
      <w:tr>
        <w:trPr>
          <w:jc w:val="center"/>
          <w:trHeight w:val="25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спеціального фонду (плата за послуги, що надаються бюджетними установами згідно з їх основною діяльністю, спонсорські кошти, надходження благодійних внесків від батьків в натуральній формі, інші джерела коштів, не заборонених законодавством)*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1 173 020,00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 w:afterAutospacing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1 453 775,00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1 734 530,00</w:t>
            </w:r>
            <w:r/>
          </w:p>
        </w:tc>
      </w:tr>
    </w:tbl>
    <w:p>
      <w:pPr>
        <w:ind w:right="-141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pStyle w:val="879"/>
        <w:ind w:left="0" w:right="-141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  <w:t xml:space="preserve">*Вартість дітодня в 2022 році становить –20 грн в день на одну дитину, 2023 році – 25 грн, 2024 році – 30 грн.</w:t>
      </w:r>
      <w:r/>
    </w:p>
    <w:p>
      <w:pPr>
        <w:ind w:right="-141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right="-141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Загальні положення програми</w:t>
      </w:r>
      <w:r/>
    </w:p>
    <w:p>
      <w:pPr>
        <w:jc w:val="both"/>
        <w:spacing w:lineRule="auto" w:line="240" w:after="150"/>
        <w:shd w:val="clear" w:fill="FFFFFF" w:color="auto"/>
        <w:rPr>
          <w:rFonts w:ascii="Arial" w:hAnsi="Arial" w:cs="Arial" w:eastAsia="Times New Roman"/>
          <w:sz w:val="21"/>
          <w:szCs w:val="21"/>
          <w:lang w:eastAsia="uk-UA"/>
        </w:rPr>
      </w:pPr>
      <w:r>
        <w:rPr>
          <w:rFonts w:ascii="Arial" w:hAnsi="Arial" w:cs="Arial" w:eastAsia="Times New Roman"/>
          <w:sz w:val="21"/>
          <w:szCs w:val="21"/>
          <w:lang w:eastAsia="uk-UA"/>
        </w:rPr>
      </w:r>
      <w:r/>
    </w:p>
    <w:p>
      <w:pPr>
        <w:ind w:firstLine="720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Одним із основних факторів впливу на здоров’я дітей є повноцінне і раціональне харчування.</w:t>
      </w:r>
      <w:r/>
    </w:p>
    <w:p>
      <w:pPr>
        <w:ind w:firstLine="720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Станом на 01.11.2021 року на території Менської ТГ функціонують 14 закладів загальної середньої освіти та дві філії, в яких виховується 2422 дітей. </w:t>
      </w:r>
      <w:r/>
    </w:p>
    <w:p>
      <w:pPr>
        <w:ind w:firstLine="720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З 1 січня 2021 року згідно рішення другої сесії восьмого скликання від 23 грудня</w:t>
      </w:r>
      <w:r>
        <w:rPr>
          <w:rFonts w:ascii="Times New Roman" w:hAnsi="Times New Roman"/>
          <w:sz w:val="28"/>
          <w:szCs w:val="28"/>
        </w:rPr>
        <w:t xml:space="preserve"> 2020 року №28 «Про внесення до Програми організації харчування учнів в закладах загальної середньої освіти Менської міської ради на 2020- 2022 роки" вартість харчування на одну дитину в день по закладах загальної середньої освіти  становить 17 грн в день.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/>
          <w:color w:val="333333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24.03.2021 року №305 «Про затвердження норм та Порядку організації харчування у закладах освіти та дитячих закладах оздоровлення та відпочинку» (зі змінами) суттєво змінено 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принципи планування та механізм організації харчування здобувачів освіти/дітей у закладах загальної середньої освіти,</w:t>
      </w:r>
      <w:r>
        <w:rPr>
          <w:color w:val="333333"/>
          <w:shd w:val="clear" w:fill="FFFFFF" w:color="auto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 передбачено забезпечення більш збалансованого харчування, що вплинуло на формування 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примірного чотиритижневого сезонного меню - документ, щ</w:t>
      </w:r>
      <w:r>
        <w:rPr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о містить набір страв, вихід (масу) їх порцій для різних вікових груп, враховує особливі дієтичні потреби здобувачів освіти/дітей (у разі наявності), сезонність (осінь, зима, весна, літо) та потребує збільшення грошових норм харчування на 1 дитину в день. 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80"/>
        <w:ind w:firstLine="450"/>
        <w:jc w:val="both"/>
        <w:spacing w:after="150" w:afterAutospacing="0" w:before="0" w:beforeAutospacing="0"/>
        <w:shd w:val="clear" w:fill="FFFFFF" w:color="auto"/>
      </w:pPr>
      <w:r>
        <w:rPr>
          <w:b/>
          <w:sz w:val="28"/>
          <w:szCs w:val="28"/>
        </w:rPr>
        <w:t xml:space="preserve">Безоплатним гарячим харчуванням </w:t>
      </w:r>
      <w:r>
        <w:rPr>
          <w:color w:val="333333"/>
          <w:sz w:val="28"/>
          <w:szCs w:val="28"/>
          <w:shd w:val="clear" w:fill="FFFFFF" w:color="auto"/>
        </w:rPr>
        <w:t xml:space="preserve">за рахунок коштів місцевого бюджету, відповідно до встановленого в закладі освіти режиму (кратності) харчування, забезпечуються учні закладу загальної середньої </w:t>
      </w:r>
      <w:r>
        <w:rPr>
          <w:sz w:val="28"/>
          <w:szCs w:val="28"/>
          <w:shd w:val="clear" w:fill="FFFFFF" w:color="auto"/>
        </w:rPr>
        <w:t xml:space="preserve">освіти</w:t>
      </w:r>
      <w:r>
        <w:rPr>
          <w:sz w:val="28"/>
          <w:szCs w:val="28"/>
        </w:rPr>
        <w:t xml:space="preserve"> з числа:</w:t>
      </w:r>
      <w:r>
        <w:t xml:space="preserve"> </w:t>
      </w:r>
      <w:r/>
    </w:p>
    <w:p>
      <w:pPr>
        <w:pStyle w:val="880"/>
        <w:ind w:firstLine="450"/>
        <w:jc w:val="both"/>
        <w:spacing w:after="15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учнів 1-4 класів;</w:t>
      </w:r>
      <w:r/>
    </w:p>
    <w:p>
      <w:pPr>
        <w:pStyle w:val="880"/>
        <w:ind w:firstLine="450"/>
        <w:jc w:val="both"/>
        <w:spacing w:after="15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дітей-сиріт;</w:t>
      </w:r>
      <w:r/>
    </w:p>
    <w:p>
      <w:pPr>
        <w:pStyle w:val="880"/>
        <w:ind w:firstLine="450"/>
        <w:jc w:val="both"/>
        <w:spacing w:after="15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дітей, позбавлених батьківського піклування;</w:t>
      </w:r>
      <w:r/>
    </w:p>
    <w:p>
      <w:pPr>
        <w:pStyle w:val="880"/>
        <w:ind w:firstLine="450"/>
        <w:jc w:val="both"/>
        <w:spacing w:after="15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 з особливими освітніми потребами, які навчаються у спеціальних та інклюзивних класах (групах);</w:t>
      </w:r>
      <w:r/>
    </w:p>
    <w:p>
      <w:pPr>
        <w:pStyle w:val="880"/>
        <w:ind w:firstLine="450"/>
        <w:jc w:val="both"/>
        <w:spacing w:after="15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 із сімей, які отримують допомогу відповідно до </w:t>
      </w:r>
      <w:hyperlink r:id="rId14" w:tooltip="https://zakon.rada.gov.ua/laws/show/1768-14" w:history="1">
        <w:r>
          <w:rPr>
            <w:rStyle w:val="876"/>
            <w:rFonts w:eastAsia="Arial"/>
            <w:color w:val="000099"/>
            <w:sz w:val="28"/>
            <w:szCs w:val="28"/>
          </w:rPr>
          <w:t xml:space="preserve">Закону України</w:t>
        </w:r>
      </w:hyperlink>
      <w:r>
        <w:rPr>
          <w:color w:val="333333"/>
          <w:sz w:val="28"/>
          <w:szCs w:val="28"/>
        </w:rPr>
        <w:t xml:space="preserve"> «Про державну соціальну допомогу малозабезпеченим сім’ям»;</w:t>
      </w:r>
      <w:r/>
    </w:p>
    <w:p>
      <w:pPr>
        <w:pStyle w:val="880"/>
        <w:ind w:firstLine="450"/>
        <w:jc w:val="both"/>
        <w:spacing w:after="15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учнів закладів освіти, розташованих на територіях радіоактивного забруднення, а</w:t>
      </w:r>
      <w:r>
        <w:rPr>
          <w:color w:val="333333"/>
          <w:sz w:val="28"/>
          <w:szCs w:val="28"/>
        </w:rPr>
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</w:r>
      <w:hyperlink r:id="rId15" w:tooltip="https://zakon.rada.gov.ua/laws/show/796-12" w:history="1">
        <w:r>
          <w:rPr>
            <w:rStyle w:val="876"/>
            <w:rFonts w:eastAsia="Arial"/>
            <w:color w:val="000099"/>
            <w:sz w:val="28"/>
            <w:szCs w:val="28"/>
          </w:rPr>
          <w:t xml:space="preserve">Закону України</w:t>
        </w:r>
      </w:hyperlink>
      <w:r>
        <w:rPr>
          <w:color w:val="333333"/>
          <w:sz w:val="28"/>
          <w:szCs w:val="28"/>
        </w:rPr>
        <w:t xml:space="preserve"> «Про статус і соціальний захист громадян, які постраждали внаслідок Чорнобильської катастрофи»;</w:t>
      </w:r>
      <w:r/>
    </w:p>
    <w:p>
      <w:pPr>
        <w:pStyle w:val="880"/>
        <w:ind w:firstLine="450"/>
        <w:jc w:val="both"/>
        <w:spacing w:after="150" w:afterAutospacing="0" w:before="0" w:beforeAutospacing="0"/>
        <w:shd w:val="clear" w:fill="FFFFFF" w:color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дітей з числа внутрішньо переміщених осіб, діти, які мають статус дитини, яка постраждала внаслідок воєнних дій і збройних конфліктів;</w:t>
      </w:r>
      <w:r/>
    </w:p>
    <w:p>
      <w:pPr>
        <w:pStyle w:val="880"/>
        <w:ind w:firstLine="450"/>
        <w:jc w:val="both"/>
        <w:spacing w:after="15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дітей з числа осіб, визначених у</w:t>
      </w:r>
      <w:hyperlink r:id="rId16" w:tooltip="https://zakon.rada.gov.ua/laws/show/3551-12#n147" w:anchor="n147" w:history="1">
        <w:r>
          <w:rPr>
            <w:rStyle w:val="876"/>
            <w:rFonts w:eastAsia="Arial"/>
            <w:color w:val="000000" w:themeColor="text1"/>
            <w:sz w:val="28"/>
            <w:szCs w:val="28"/>
          </w:rPr>
          <w:t xml:space="preserve"> статті 10 </w:t>
        </w:r>
      </w:hyperlink>
      <w:r>
        <w:rPr>
          <w:color w:val="000000" w:themeColor="text1"/>
          <w:sz w:val="28"/>
          <w:szCs w:val="28"/>
        </w:rPr>
        <w:t xml:space="preserve">Закону України «Про статус ветеранів війни, гарантії їх соціального захисту»;</w:t>
      </w:r>
      <w:r/>
    </w:p>
    <w:p>
      <w:pPr>
        <w:pStyle w:val="879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Batang"/>
          <w:color w:val="000000" w:themeColor="text1"/>
          <w:sz w:val="28"/>
          <w:szCs w:val="28"/>
          <w:lang w:eastAsia="ru-RU"/>
        </w:rPr>
        <w:tab/>
        <w:t xml:space="preserve">дітей учасників бойових дій – АТО та ООС;</w:t>
      </w:r>
      <w:r/>
    </w:p>
    <w:p>
      <w:pPr>
        <w:pStyle w:val="879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дітей, один з батьків яких загинув (пропав безвісти), помер під час захисту незалежності та суверенітету України</w:t>
      </w:r>
      <w:r/>
    </w:p>
    <w:p>
      <w:pPr>
        <w:pStyle w:val="879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дітей з інвалідністю;</w:t>
      </w:r>
      <w:r/>
    </w:p>
    <w:p>
      <w:pPr>
        <w:pStyle w:val="879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/>
          <w:lang w:eastAsia="uk-UA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у виняткових випадках (в разі, якщо сім’я опинилась в складних життєвих обставинах або батьки неспромо</w:t>
      </w:r>
      <w:r>
        <w:rPr>
          <w:rFonts w:ascii="Times New Roman" w:hAnsi="Times New Roman"/>
          <w:sz w:val="28"/>
          <w:szCs w:val="28"/>
          <w:lang w:eastAsia="uk-UA"/>
        </w:rPr>
        <w:t xml:space="preserve">жні з поважних причин сплачувати за харчування дітей та інших випадках) за погодженням виконавчого комітету Менської міської </w:t>
      </w:r>
      <w:r>
        <w:rPr>
          <w:rFonts w:ascii="Times New Roman" w:hAnsi="Times New Roman"/>
          <w:sz w:val="28"/>
          <w:szCs w:val="28"/>
          <w:lang w:eastAsia="uk-UA"/>
        </w:rPr>
        <w:t xml:space="preserve">ради (при наявності підтверджуючих документів, заяви одного з батьків та за пропозицією відділу освіти Менської міської ради)).</w:t>
      </w:r>
      <w:r/>
    </w:p>
    <w:p>
      <w:pPr>
        <w:ind w:right="-141"/>
        <w:jc w:val="both"/>
        <w:spacing w:lineRule="auto" w:line="240" w:after="0"/>
        <w:tabs>
          <w:tab w:val="left" w:pos="426" w:leader="none"/>
          <w:tab w:val="left" w:pos="851" w:leader="none"/>
        </w:tabs>
        <w:rPr>
          <w:rStyle w:val="881"/>
          <w:sz w:val="28"/>
          <w:szCs w:val="28"/>
        </w:rPr>
      </w:pPr>
      <w:r>
        <w:rPr>
          <w:rStyle w:val="881"/>
          <w:rFonts w:ascii="Times New Roman" w:hAnsi="Times New Roman"/>
          <w:sz w:val="28"/>
          <w:szCs w:val="28"/>
        </w:rPr>
        <w:tab/>
        <w:t xml:space="preserve">Гарячим харчуванням, з </w:t>
      </w:r>
      <w:r>
        <w:rPr>
          <w:rStyle w:val="881"/>
          <w:rFonts w:ascii="Times New Roman" w:hAnsi="Times New Roman"/>
          <w:b/>
          <w:sz w:val="28"/>
          <w:szCs w:val="28"/>
        </w:rPr>
        <w:t xml:space="preserve">оплатою в розмірі 50% від вартості харчування</w:t>
      </w:r>
      <w:r>
        <w:rPr>
          <w:rStyle w:val="881"/>
          <w:rFonts w:ascii="Times New Roman" w:hAnsi="Times New Roman"/>
          <w:sz w:val="28"/>
          <w:szCs w:val="28"/>
        </w:rPr>
        <w:t xml:space="preserve">, забезпечуються діти 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сімей в яких троє і більше дітей.</w:t>
      </w:r>
      <w:r>
        <w:rPr>
          <w:rStyle w:val="881"/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150"/>
        <w:shd w:val="clear" w:fill="FFFFFF" w:color="auto"/>
        <w:rPr>
          <w:rFonts w:eastAsia="Times New Roman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Станом на 01.11.2021 року загальна кількість дітей, які охоплені гарячим харчуванням становить 1596 осіб (71% від загальної кількості учнів ЗЗСО), в тому числі: бе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зоплатним гарячим харчуванням - 992 дитини (44% від загальної кількості учнів шкіл) - це учні 1-4 класів (829 дітей) та діти пільгових категорій 5-11 класів; вартість харчування  зменшена на 50% для 149 дітей 5-11 класів з сімей в яких троє і більше дітей.</w:t>
      </w:r>
      <w:r/>
    </w:p>
    <w:p>
      <w:pPr>
        <w:pStyle w:val="879"/>
        <w:ind w:left="0" w:right="-141" w:firstLine="720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Вартість харчування на одну дитину в день, з урахуванн</w:t>
      </w:r>
      <w:r>
        <w:rPr>
          <w:rFonts w:ascii="Times New Roman" w:hAnsi="Times New Roman"/>
          <w:sz w:val="28"/>
          <w:szCs w:val="28"/>
        </w:rPr>
        <w:t xml:space="preserve">ям вимог Постанови Кабінету Міністрів України від 24.03.2021 року №305 «Про затвердження норм та Порядку організації харчування у закладах освіти та дитячих закладах оздоровлення та відпочинку» (зі змінами), в 2022-2024 роки планується  встановити на рівні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eastAsia="Batang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 2022 році –20 грн в день на одну дитину, 2023 році – 25 грн, 2024 році – 30 грн.</w:t>
      </w:r>
      <w:r/>
    </w:p>
    <w:p>
      <w:pPr>
        <w:ind w:firstLine="708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 зв’язку з переведенням з 01 січня 2022 року закладів загальної середньої освіти на умови самостій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ного ведення господарської діяльності та бухгалтерського обліку Відділ освіти, Комунальна установа «Центр з обслуговування освітніх установ та закладів освіти» забезпечуватимуть координацію процесу організації харчування та контроль за використанням коштів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спрямованих на організацію харчування учнів в цілому, а також на організацію безоплатного та пільгового гарячого харчування дітей шкільного віку, які навчаються в закладах загальної середньої освіти Менської ТГ, категорії яких визначені даною Програмою. </w:t>
      </w:r>
      <w:r/>
    </w:p>
    <w:p>
      <w:pPr>
        <w:ind w:firstLine="720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харчовими нормами, якістю продукції, яка надходить до харчоблоків, організація харчування в ЗЗСО здійснюється керівництвом відповідного закладу в рамках системи </w:t>
      </w:r>
      <w:r>
        <w:rPr>
          <w:sz w:val="28"/>
          <w:szCs w:val="28"/>
          <w:shd w:val="clear" w:fill="FFFFFF" w:color="auto"/>
        </w:rPr>
        <w:t xml:space="preserve"> 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(НАССР).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Комунальна установа «Центр з обслуговування освітніх установ та закладів освіти» спільно з адміністрацією закладу освіти буде  забезпеч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увати закупівлю і контроль за постачанням продуктів харчування та продовольчої сировини гарантованої якості, ведення бухгалтерського обліку продуктів харчування та продовольчої сировини, аналітичний облік батьківської плати за харчування в закладах освіти.</w:t>
      </w:r>
      <w:r/>
    </w:p>
    <w:p>
      <w:pPr>
        <w:ind w:firstLine="720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Заклади освіти  забезпечують замовлення необхідної кількості продуктів харчува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ння та продовольчої сировини, їх приймання, складання меню-розкладу, виготовлення страв, подання дітям готових страв, ведення обліку дітей, які отримують харчування, контроль за харчуванням, інформування  батьків про організацію харчування дітей в закладі.</w:t>
      </w:r>
      <w:r/>
    </w:p>
    <w:p>
      <w:pPr>
        <w:ind w:firstLine="720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Розробка Програми зумовлена необхідністю створення та забезпечення умов для організації повноцінного та якісного харчування здобувачів освіти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закладів загальної середньої освіти Менської ТГ, а також забезпечення пільгових умов оплати за харчування учнів шкіл категорій, які потребують соціальної підтримки.</w:t>
      </w:r>
      <w:r/>
    </w:p>
    <w:p>
      <w:pPr>
        <w:pStyle w:val="879"/>
        <w:numPr>
          <w:ilvl w:val="0"/>
          <w:numId w:val="1"/>
        </w:numPr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МЕТА ТА ОСНОВНІ ЗАВДАННЯ ПРОГРАМИ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Основна мета Програми – створення умов для збереження здоров’я дітей, підвищення рівня організації харчування, забезпечення учнів закладів загальної середньої освіти якісним харчуванням, впровадження нових технологій приготування їжі.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/>
    </w:p>
    <w:p>
      <w:pPr>
        <w:ind w:right="-141"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Основними завданнями Програми є:</w:t>
      </w:r>
      <w:r/>
    </w:p>
    <w:p>
      <w:pPr>
        <w:numPr>
          <w:ilvl w:val="0"/>
          <w:numId w:val="2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вдосконалення системи організації харчування у закладах загальної середньої освіти Менської ТГ;</w:t>
      </w:r>
      <w:r/>
    </w:p>
    <w:p>
      <w:pPr>
        <w:numPr>
          <w:ilvl w:val="0"/>
          <w:numId w:val="2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збереження здоров’я дітей та забезпечення повноцінного і раціонального харчування учнів закладів загальної середньої освіти Менської ТГ;</w:t>
      </w:r>
      <w:r/>
    </w:p>
    <w:p>
      <w:pPr>
        <w:numPr>
          <w:ilvl w:val="0"/>
          <w:numId w:val="2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удосконалення управління системою організації харчування, оптимізація витрат на її функціонування;</w:t>
      </w:r>
      <w:r/>
    </w:p>
    <w:p>
      <w:pPr>
        <w:numPr>
          <w:ilvl w:val="0"/>
          <w:numId w:val="2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умов для повноцінного харчування учнів ЗЗСО;</w:t>
      </w:r>
      <w:r/>
    </w:p>
    <w:p>
      <w:pPr>
        <w:numPr>
          <w:ilvl w:val="0"/>
          <w:numId w:val="2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гарячим безоплатним та пільговим харчуванням учнів, які відвідують заклади загальної середньої освіти Менської ТГ, категорії яких визначені даною Програмою</w:t>
      </w:r>
      <w:r/>
    </w:p>
    <w:p>
      <w:pPr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Реалізація Програми дасть змогу:</w:t>
      </w:r>
      <w:r/>
    </w:p>
    <w:p>
      <w:pPr>
        <w:numPr>
          <w:ilvl w:val="0"/>
          <w:numId w:val="3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повноцінного і раціонального харчування дітей шкільного віку;</w:t>
      </w:r>
      <w:r/>
    </w:p>
    <w:p>
      <w:pPr>
        <w:numPr>
          <w:ilvl w:val="0"/>
          <w:numId w:val="3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забезпечити гарячим безоплатним та пільговим харчуванням дітей шкільного віку, які відвідують заклади загальної середньої освіти Менської ТГ, категорії яких визначені даною Програмою;</w:t>
      </w:r>
      <w:r/>
    </w:p>
    <w:p>
      <w:pPr>
        <w:numPr>
          <w:ilvl w:val="0"/>
          <w:numId w:val="3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формувати навички правильного та здорового харчування;</w:t>
      </w:r>
      <w:r/>
    </w:p>
    <w:p>
      <w:pPr>
        <w:numPr>
          <w:ilvl w:val="0"/>
          <w:numId w:val="3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надавати збалансоване харчування відповідно до віку і стану здоров’я дітей, урізноманітнити раціон харчування;</w:t>
      </w:r>
      <w:r/>
    </w:p>
    <w:p>
      <w:pPr>
        <w:numPr>
          <w:ilvl w:val="0"/>
          <w:numId w:val="3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поліпшити контроль за якістю сировини та готової продукції за системою </w:t>
      </w:r>
      <w:r>
        <w:rPr>
          <w:sz w:val="28"/>
          <w:szCs w:val="28"/>
          <w:shd w:val="clear" w:fill="FFFFFF" w:color="auto"/>
        </w:rPr>
        <w:t xml:space="preserve">(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НАССР);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</w:t>
      </w:r>
      <w:r/>
    </w:p>
    <w:p>
      <w:pPr>
        <w:numPr>
          <w:ilvl w:val="0"/>
          <w:numId w:val="3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забезпечити раціональне та ефективне використання бюджетних коштів.</w:t>
      </w:r>
      <w:r/>
    </w:p>
    <w:p>
      <w:pPr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Доцільність створення даної Програми обумовлена:</w:t>
      </w:r>
      <w:r/>
    </w:p>
    <w:p>
      <w:pPr>
        <w:numPr>
          <w:ilvl w:val="0"/>
          <w:numId w:val="4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турботою про збереження та поліпшення стану здоров’я дітей;</w:t>
      </w:r>
      <w:r/>
    </w:p>
    <w:p>
      <w:pPr>
        <w:numPr>
          <w:ilvl w:val="0"/>
          <w:numId w:val="4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необхідністю створення умов для організації повноцінного і якісного харчування як важливої складової для розвитку дитячого організму;</w:t>
      </w:r>
      <w:r/>
    </w:p>
    <w:p>
      <w:pPr>
        <w:numPr>
          <w:ilvl w:val="0"/>
          <w:numId w:val="4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необхідністю вдосконалення системи організації харчування у закладах загальної середньої освіти Менської ТГ, яка забезпечить раціональне, ефективне і прозоре використання бюджетних коштів.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 ОСНОВНІ ЗАХОДИ ПРОГРАМИ</w:t>
      </w:r>
      <w:r/>
    </w:p>
    <w:tbl>
      <w:tblPr>
        <w:tblW w:w="10205" w:type="dxa"/>
        <w:shd w:val="clear" w:fill="FFFFFF" w:color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4851"/>
        <w:gridCol w:w="2551"/>
        <w:gridCol w:w="1701"/>
      </w:tblGrid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№ з/п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Заходи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Виконавці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-17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Термін виконання</w:t>
            </w:r>
            <w:r/>
          </w:p>
        </w:tc>
      </w:tr>
      <w:tr>
        <w:trPr/>
        <w:tc>
          <w:tcPr>
            <w:gridSpan w:val="4"/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205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1.            Організаційне забезпечення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1.1.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Удосконалення системи контролю за якістю харчування в закладах загальної середньої освіти Менської ТГ, удосконалення системи </w:t>
            </w:r>
            <w:r>
              <w:rPr>
                <w:sz w:val="28"/>
                <w:szCs w:val="28"/>
                <w:shd w:val="clear" w:fill="FFFFFF" w:color="auto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</w:rPr>
              <w:t xml:space="preserve">НАССР)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 освіти, Комунальна установа, керівники ЗЗСО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 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1.2.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Систематичне оновлення інформаційних куточків для  батьків щодо харчування дітей.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ЗЗСО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1.3.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Оновлення бази даних дітей пільгових категорій, які потребують безоплатного або пільгового харчування.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ЗЗСО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Січень, щорічно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1.4.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Організація та проведення нарад, семінарів з питань формування здорового способу життя.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ЗЗСО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Відповідно до плану роботи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1.5.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jc w:val="both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Проведення публічних закупівель продуктів харчування.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Комунальна установа, керівники ЗЗСО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 потребою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1.6.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Забезпечення фінансування наданих виплат.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Комунальна установа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-17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gridSpan w:val="4"/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205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</w:t>
            </w:r>
            <w:r/>
          </w:p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2.            Організація харчування в  закладах загальної середньої освіти </w:t>
            </w:r>
            <w:r/>
          </w:p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                Менської ТГ 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2.1.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pStyle w:val="880"/>
              <w:ind w:left="0" w:right="322" w:firstLine="0"/>
              <w:jc w:val="both"/>
              <w:spacing w:lineRule="auto" w:line="240" w:after="0" w:afterAutospacing="0" w:before="0" w:beforeAutospacing="0"/>
              <w:shd w:val="clear" w:fill="FFFFFF" w:color="auto"/>
            </w:pPr>
            <w:r>
              <w:rPr>
                <w:b/>
                <w:sz w:val="28"/>
                <w:szCs w:val="28"/>
              </w:rPr>
              <w:t xml:space="preserve">Забезпечення  безоплатним гарячим харчуванням </w:t>
            </w:r>
            <w:r>
              <w:rPr>
                <w:sz w:val="28"/>
                <w:szCs w:val="28"/>
                <w:shd w:val="clear" w:fill="FFFFFF" w:color="auto"/>
              </w:rPr>
              <w:t xml:space="preserve">за рахунок коштів місцевого бюджету, відповідно до встановленого в закладі освіти режиму (кратності) харчування, для учнів закладу загальної середньої освіти </w:t>
            </w:r>
            <w:r>
              <w:rPr>
                <w:sz w:val="28"/>
                <w:szCs w:val="28"/>
              </w:rPr>
              <w:t xml:space="preserve">з числа:</w:t>
            </w:r>
            <w:r>
              <w:t xml:space="preserve"> </w:t>
            </w:r>
            <w:r/>
          </w:p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</w:rPr>
            </w:pPr>
            <w:r/>
            <w:bookmarkStart w:id="0" w:name="n165"/>
            <w:r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-учнів 1-4 класів;</w:t>
            </w:r>
            <w:r/>
          </w:p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дітей-сиріт;</w:t>
            </w:r>
            <w:r/>
          </w:p>
          <w:p>
            <w:pPr>
              <w:pStyle w:val="880"/>
              <w:ind w:left="0" w:right="322" w:firstLine="0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-дітей, позбавлених батьківського піклування;</w:t>
            </w:r>
            <w:r/>
          </w:p>
          <w:p>
            <w:pPr>
              <w:pStyle w:val="880"/>
              <w:ind w:left="0" w:right="322" w:firstLine="0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 з особливими освітніми потребами, які навчаються у спеціальних та інклюзивних класах (групах);</w:t>
            </w:r>
            <w:r/>
          </w:p>
          <w:p>
            <w:pPr>
              <w:pStyle w:val="880"/>
              <w:ind w:left="0" w:right="322" w:firstLine="0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 із сімей, які отримують допомогу відповідно до </w:t>
            </w:r>
            <w:hyperlink r:id="rId17" w:tooltip="https://zakon.rada.gov.ua/laws/show/1768-14" w:history="1">
              <w:r>
                <w:rPr>
                  <w:rStyle w:val="876"/>
                  <w:rFonts w:eastAsia="Arial"/>
                  <w:sz w:val="28"/>
                  <w:szCs w:val="28"/>
                </w:rPr>
                <w:t xml:space="preserve">Закону України</w:t>
              </w:r>
            </w:hyperlink>
            <w:r>
              <w:rPr>
                <w:sz w:val="28"/>
                <w:szCs w:val="28"/>
              </w:rPr>
              <w:t xml:space="preserve"> “Про державну соціальну допомогу малозабезпеченим сім’ям”;</w:t>
            </w:r>
            <w:r/>
          </w:p>
          <w:p>
            <w:pPr>
              <w:pStyle w:val="880"/>
              <w:ind w:left="0" w:right="322" w:firstLine="0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-учнів закладів освіти, розташованих на територіях радіоактивного забруднення, а</w:t>
            </w:r>
            <w:r>
              <w:rPr>
                <w:sz w:val="28"/>
                <w:szCs w:val="28"/>
              </w:rPr>
      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      </w:r>
            <w:hyperlink r:id="rId18" w:tooltip="https://zakon.rada.gov.ua/laws/show/796-12" w:history="1">
              <w:r>
                <w:rPr>
                  <w:rStyle w:val="876"/>
                  <w:rFonts w:eastAsia="Arial"/>
                  <w:sz w:val="28"/>
                  <w:szCs w:val="28"/>
                </w:rPr>
                <w:t xml:space="preserve">Закону України</w:t>
              </w:r>
            </w:hyperlink>
            <w:r>
              <w:rPr>
                <w:sz w:val="28"/>
                <w:szCs w:val="28"/>
              </w:rPr>
              <w:t xml:space="preserve"> “Про статус і соціальний захист громадян, які постраждали внаслідок Чорнобильської катастрофи”;</w:t>
            </w:r>
            <w:r/>
          </w:p>
          <w:p>
            <w:pPr>
              <w:pStyle w:val="880"/>
              <w:ind w:left="0" w:right="322" w:firstLine="0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 з числа внутрішньо переміщених осіб, діти, які мають статус дитини, яка </w:t>
            </w:r>
            <w:r>
              <w:rPr>
                <w:sz w:val="28"/>
                <w:szCs w:val="28"/>
              </w:rPr>
              <w:t xml:space="preserve">постраждала внаслідок воєнних дій і збройних конфліктів;</w:t>
            </w:r>
            <w:r/>
          </w:p>
          <w:p>
            <w:pPr>
              <w:pStyle w:val="880"/>
              <w:ind w:left="0" w:right="322" w:firstLine="0"/>
              <w:jc w:val="both"/>
              <w:spacing w:lineRule="auto" w:line="240" w:after="0" w:afterAutospacing="0" w:before="0" w:beforeAutospacing="0"/>
              <w:shd w:val="clear" w:fill="FFFFFF" w:color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-дітей з числа осіб, визначених у</w:t>
            </w:r>
            <w:hyperlink r:id="rId19" w:tooltip="https://zakon.rada.gov.ua/laws/show/3551-12#n147" w:anchor="n147" w:history="1">
              <w:r>
                <w:rPr>
                  <w:rStyle w:val="876"/>
                  <w:rFonts w:eastAsia="Arial"/>
                  <w:sz w:val="28"/>
                  <w:szCs w:val="28"/>
                </w:rPr>
                <w:t xml:space="preserve"> статті 10 </w:t>
              </w:r>
            </w:hyperlink>
            <w:r>
              <w:rPr>
                <w:sz w:val="28"/>
                <w:szCs w:val="28"/>
              </w:rPr>
              <w:t xml:space="preserve">Закону України “Про статус ветеранів війни, гарантії їх соціального захисту”;</w:t>
            </w:r>
            <w:r/>
          </w:p>
          <w:p>
            <w:pPr>
              <w:pStyle w:val="879"/>
              <w:numPr>
                <w:ilvl w:val="0"/>
                <w:numId w:val="5"/>
              </w:numPr>
              <w:ind w:left="0" w:right="322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 учасників бойових дій – АТО та ООС;</w:t>
            </w:r>
            <w:r/>
          </w:p>
          <w:p>
            <w:pPr>
              <w:pStyle w:val="879"/>
              <w:numPr>
                <w:ilvl w:val="0"/>
                <w:numId w:val="5"/>
              </w:numPr>
              <w:ind w:left="0" w:right="322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дітей, один з батьків яких загинув (пропав безвісти), помер під час захисту незалежності та суверенітету України;</w:t>
            </w:r>
            <w:r/>
          </w:p>
          <w:p>
            <w:pPr>
              <w:pStyle w:val="879"/>
              <w:numPr>
                <w:ilvl w:val="0"/>
                <w:numId w:val="5"/>
              </w:numPr>
              <w:ind w:left="0" w:right="322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дітей з інвалідністю;</w:t>
            </w:r>
            <w:r/>
          </w:p>
          <w:p>
            <w:pPr>
              <w:pStyle w:val="879"/>
              <w:numPr>
                <w:ilvl w:val="0"/>
                <w:numId w:val="5"/>
              </w:numPr>
              <w:ind w:left="0" w:right="322" w:firstLine="0"/>
              <w:jc w:val="both"/>
              <w:spacing w:lineRule="auto" w:line="240" w:after="0" w:afterAutospacing="0"/>
              <w:tabs>
                <w:tab w:val="left" w:pos="425" w:leader="none"/>
              </w:tabs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у виняткових випадках (в разі, якщо сім’я опинилась в складних життєвих обставинах або батьки неспромо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      </w:r>
            <w:r/>
          </w:p>
          <w:p>
            <w:pPr>
              <w:ind w:left="0" w:right="322" w:firstLine="0"/>
              <w:jc w:val="both"/>
              <w:spacing w:lineRule="auto" w:line="240" w:after="0" w:afterAutospacing="0"/>
              <w:tabs>
                <w:tab w:val="left" w:pos="426" w:leader="none"/>
                <w:tab w:val="left" w:pos="851" w:leader="none"/>
              </w:tabs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r>
            <w:r/>
          </w:p>
          <w:p>
            <w:pPr>
              <w:ind w:left="0" w:right="322" w:firstLine="0"/>
              <w:jc w:val="both"/>
              <w:spacing w:lineRule="auto" w:line="240" w:after="0" w:afterAutospacing="0"/>
              <w:tabs>
                <w:tab w:val="left" w:pos="426" w:leader="none"/>
                <w:tab w:val="left" w:pos="851" w:leader="none"/>
              </w:tabs>
              <w:rPr>
                <w:rStyle w:val="881"/>
              </w:rPr>
            </w:pPr>
            <w:r>
              <w:rPr>
                <w:rStyle w:val="881"/>
                <w:rFonts w:ascii="Times New Roman" w:hAnsi="Times New Roman"/>
                <w:sz w:val="28"/>
                <w:szCs w:val="28"/>
              </w:rPr>
              <w:t xml:space="preserve">Гарячим харчуванням, з </w:t>
            </w:r>
            <w:r>
              <w:rPr>
                <w:rStyle w:val="881"/>
                <w:rFonts w:ascii="Times New Roman" w:hAnsi="Times New Roman"/>
                <w:b/>
                <w:sz w:val="28"/>
                <w:szCs w:val="28"/>
              </w:rPr>
              <w:t xml:space="preserve">оплатою в розмірі 50% від вартості харчування</w:t>
            </w:r>
            <w:r>
              <w:rPr>
                <w:rStyle w:val="881"/>
                <w:rFonts w:ascii="Times New Roman" w:hAnsi="Times New Roman"/>
                <w:sz w:val="28"/>
                <w:szCs w:val="28"/>
              </w:rPr>
              <w:t xml:space="preserve">, забезпечуються діти з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 сімей в яких троє і більше дітей.</w:t>
            </w:r>
            <w:r>
              <w:rPr>
                <w:rStyle w:val="881"/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eastAsia="Times New Roman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 освіти,</w:t>
            </w:r>
            <w:r/>
          </w:p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керівники ЗЗСО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-17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Протягом року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2.2.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Дотримання санітарно-гігієнічних норм щодо організації харчування, оптимального режиму роботи харчоблоків.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Заклади освіти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-17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2.3.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Проведення перевірок щодо організації харчування в закладах загальної середньої освіти.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Відділ освіти, керівники ЗЗСО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Згідно плану</w:t>
            </w:r>
            <w:r/>
          </w:p>
        </w:tc>
      </w:tr>
      <w:tr>
        <w:trPr>
          <w:trHeight w:val="703"/>
        </w:trPr>
        <w:tc>
          <w:tcPr>
            <w:gridSpan w:val="4"/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0205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 2.4.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Розподіл коштів на організацію                    Відділ освіти,  КУ</w:t>
            </w:r>
            <w:r/>
          </w:p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             безоплатного та пільгового гарячого</w:t>
            </w:r>
            <w:r/>
          </w:p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             харчування здобувачів освіти, облік і</w:t>
            </w:r>
            <w:r/>
          </w:p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             звітність за використання коштів, які                                                                                                  </w:t>
            </w:r>
            <w:r/>
          </w:p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             виділяються на безоплатне та пільгове</w:t>
            </w:r>
            <w:r/>
          </w:p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             харчування в ЗЗСО  </w:t>
            </w:r>
            <w:r/>
          </w:p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                                           </w:t>
            </w:r>
            <w:r/>
          </w:p>
          <w:p>
            <w:pPr>
              <w:pStyle w:val="879"/>
              <w:numPr>
                <w:ilvl w:val="0"/>
                <w:numId w:val="1"/>
              </w:num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Підвищення якості харчування в закладах загальної середньої освіти</w:t>
            </w:r>
            <w:r/>
          </w:p>
          <w:p>
            <w:pPr>
              <w:pStyle w:val="879"/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Менської ТГ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3.1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Розширення асортименту страв.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освіти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2022-2024 р.р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3.2.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Розробка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примірного чотиритижневого сезонного меню - документ, що містить набір страв, вихід (масу) їх порцій для різних вікових груп, враховує особливі дієтичні потреби здобувачів</w:t>
            </w:r>
            <w:r>
              <w:rPr>
                <w:color w:val="000000" w:themeColor="text1"/>
                <w:shd w:val="clear" w:fill="FFFFFF" w:color="aut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auto"/>
              </w:rPr>
              <w:t xml:space="preserve">освіти/дітей (у разі наявності), сезонність (осінь, зима, весна, літо).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освіти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Щорічно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3.3.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Контроль за якістю та безпекою, дотриманням термінів, умов зберігання та реалізації продуктів, за поставкою продуктів харчування   з наявністю сертифікатів відповідності, посвідчень про якість і супровідних документів.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Заклади освіти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-17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Постійно</w:t>
            </w:r>
            <w:r/>
          </w:p>
        </w:tc>
      </w:tr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102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3.4.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48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Організація роботи щодо підготовки харчоблоків закладів загальної середньої освіти до початку нового навчального року.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55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Відділ освіти, Комунальна установа, заклади освіти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322" w:firstLine="0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uk-UA"/>
              </w:rPr>
              <w:t xml:space="preserve">2022-2024 р.р.</w:t>
            </w:r>
            <w:r/>
          </w:p>
        </w:tc>
      </w:tr>
    </w:tbl>
    <w:p>
      <w:pPr>
        <w:pStyle w:val="879"/>
        <w:numPr>
          <w:ilvl w:val="0"/>
          <w:numId w:val="1"/>
        </w:numPr>
        <w:jc w:val="center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ФІНАНСОВЕ ТА РЕСУРСНЕ ЗАБЕЗПЕЧЕННЯ ПРОГРАМИ</w:t>
      </w:r>
      <w:r/>
    </w:p>
    <w:p>
      <w:pPr>
        <w:ind w:firstLine="720"/>
        <w:jc w:val="both"/>
        <w:spacing w:lineRule="auto" w:line="240" w:after="15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Фінансування Програми здійснюєтьс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 за рахунок коштів бюджету  Менської міської територіальної громади відповідно до кошторису після затвердження його рішенням сесії Менської міської ради в межах бюджетних асигнувань, а також за рахунок інших джерел, не заборонених законодавством України.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При цьому обсяг коштів визначається під час формування бюджету з урахуванням його фінансових можливостей та може змінюватися в процесі виконання бюджету при внесенні змін до нього.  </w:t>
      </w:r>
      <w:r/>
    </w:p>
    <w:p>
      <w:pPr>
        <w:ind w:right="-141" w:firstLine="720"/>
        <w:jc w:val="both"/>
        <w:spacing w:lineRule="auto" w:line="240" w:after="0"/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Орієнтовні обсяги та джерела фінансування Програми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загальної середньої освіти Менської міської ради на 2022-2024 роки визначені в Паспорті Програми.</w:t>
      </w:r>
      <w:r/>
    </w:p>
    <w:p>
      <w:pPr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Врахов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уючи те, що протягом року може змінюватись кількість дітей, які відвідують заклади загальної середньої освіти, а також кількість дітей, яким надається безоплатне та пільгове гаряче харчування, суми на харчування виділяються згідно фактичної кількості осіб.</w:t>
      </w:r>
      <w:r/>
    </w:p>
    <w:p>
      <w:pPr>
        <w:ind w:firstLine="720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 освіти за підсумками кожного року подає звіт про виконання Програми та вносить пропозиції щодо потреби в коштах на наступний рік, до кінця дії Програми.</w:t>
      </w:r>
      <w:r/>
    </w:p>
    <w:p>
      <w:pPr>
        <w:spacing w:lineRule="auto" w:line="240" w:after="150"/>
        <w:shd w:val="clear" w:fill="FFFFFF" w:color="auto"/>
        <w:rPr>
          <w:rFonts w:ascii="Times New Roman" w:hAnsi="Times New Roman" w:eastAsia="Times New Roman"/>
          <w:color w:val="44546A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44546A"/>
          <w:sz w:val="28"/>
          <w:szCs w:val="28"/>
          <w:lang w:eastAsia="uk-UA"/>
        </w:rPr>
      </w:r>
      <w:r/>
    </w:p>
    <w:p>
      <w:pPr>
        <w:numPr>
          <w:ilvl w:val="0"/>
          <w:numId w:val="6"/>
        </w:numPr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РОЗРАХУНОК ПОТРЕБИ В КОШТАХ на виконання Програми</w:t>
      </w:r>
      <w:r/>
    </w:p>
    <w:p>
      <w:pPr>
        <w:ind w:right="-141" w:firstLine="720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основу розрахунку потреби коштів,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необхідних для реалізації даної Програми у 2022-2024 роках покладено наступні вимоги:</w:t>
      </w:r>
      <w:r/>
    </w:p>
    <w:p>
      <w:pPr>
        <w:ind w:right="-141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орієнтовна кількість учнів, які охоплені гарячим харчуванням;</w:t>
      </w:r>
      <w:r/>
    </w:p>
    <w:p>
      <w:pPr>
        <w:ind w:right="-141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орієнтовна кількість учнів 1-4 класів, які охоплені безоплатним гарячим харчуванням;</w:t>
      </w:r>
      <w:r/>
    </w:p>
    <w:p>
      <w:pPr>
        <w:ind w:right="-141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орієнтовна кількість учнів 5-11 класів,  які охоплені безоплатним гарячим харчуванням,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категорії яких визначені даною Програмою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;</w:t>
      </w:r>
      <w:r/>
    </w:p>
    <w:p>
      <w:pPr>
        <w:ind w:right="-141"/>
        <w:jc w:val="both"/>
        <w:spacing w:lineRule="auto" w:line="240" w:after="0"/>
        <w:tabs>
          <w:tab w:val="left" w:pos="426" w:leader="none"/>
          <w:tab w:val="left" w:pos="851" w:leader="none"/>
        </w:tabs>
        <w:rPr>
          <w:rStyle w:val="881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орієнтовна кількість учнів 5-11 класів, які охоплені г</w:t>
      </w:r>
      <w:r>
        <w:rPr>
          <w:rStyle w:val="881"/>
          <w:rFonts w:ascii="Times New Roman" w:hAnsi="Times New Roman"/>
          <w:sz w:val="28"/>
          <w:szCs w:val="28"/>
        </w:rPr>
        <w:t xml:space="preserve">арячим харчуванням, з </w:t>
      </w:r>
      <w:r>
        <w:rPr>
          <w:rStyle w:val="881"/>
          <w:rFonts w:ascii="Times New Roman" w:hAnsi="Times New Roman"/>
          <w:b/>
          <w:sz w:val="28"/>
          <w:szCs w:val="28"/>
        </w:rPr>
        <w:t xml:space="preserve">оплатою в розмірі 50% від вартості харчування</w:t>
      </w:r>
      <w:r>
        <w:rPr>
          <w:rStyle w:val="881"/>
          <w:rFonts w:ascii="Times New Roman" w:hAnsi="Times New Roman"/>
          <w:sz w:val="28"/>
          <w:szCs w:val="28"/>
        </w:rPr>
        <w:t xml:space="preserve"> (діти 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сімей в яких троє і більше дітей);</w:t>
      </w:r>
      <w:r>
        <w:rPr>
          <w:rStyle w:val="881"/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79"/>
        <w:ind w:left="0" w:right="-141"/>
        <w:jc w:val="both"/>
        <w:spacing w:lineRule="auto" w:line="240" w:after="0"/>
        <w:tabs>
          <w:tab w:val="left" w:pos="425" w:leader="none"/>
        </w:tabs>
        <w:rPr>
          <w:rFonts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вартість харчування на одну дитину в день (2022 рік- 20 грн в день, 2023 рік- 25 грн в день, 2024 рік – 30 грн в день;</w:t>
      </w:r>
      <w:r/>
    </w:p>
    <w:p>
      <w:pPr>
        <w:pStyle w:val="879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середній показник кількості дітоднів за попередні роки;</w:t>
      </w:r>
      <w:r/>
    </w:p>
    <w:p>
      <w:pPr>
        <w:pStyle w:val="879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- середній показник виконання норм харчування за попередні роки.</w:t>
      </w:r>
      <w:r/>
    </w:p>
    <w:tbl>
      <w:tblPr>
        <w:tblW w:w="10346" w:type="dxa"/>
        <w:shd w:val="clear" w:fill="FFFFFF" w:color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098"/>
        <w:gridCol w:w="2359"/>
        <w:gridCol w:w="2055"/>
      </w:tblGrid>
      <w:tr>
        <w:trPr/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83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uk-UA"/>
              </w:rPr>
              <w:t xml:space="preserve"> Всього на рік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309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color w:val="44546A" w:themeColor="text2"/>
                <w:sz w:val="28"/>
                <w:szCs w:val="28"/>
                <w:lang w:eastAsia="uk-UA"/>
              </w:rPr>
              <w:t xml:space="preserve">  2022 рік</w:t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3 528 940,00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3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44546A" w:themeColor="text2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color w:val="44546A" w:themeColor="text2"/>
                <w:sz w:val="28"/>
                <w:szCs w:val="28"/>
                <w:lang w:eastAsia="uk-UA"/>
              </w:rPr>
              <w:t xml:space="preserve"> 2023 рік</w:t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4 398 675,00</w:t>
            </w:r>
            <w:r/>
          </w:p>
        </w:tc>
        <w:tc>
          <w:tcPr>
            <w:shd w:val="clear" w:fill="FFFFFF" w:color="auto"/>
            <w:tcMar>
              <w:left w:w="150" w:type="dxa"/>
              <w:top w:w="150" w:type="dxa"/>
              <w:right w:w="150" w:type="dxa"/>
              <w:bottom w:w="150" w:type="dxa"/>
            </w:tcMar>
            <w:tcW w:w="20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color w:val="44546A" w:themeColor="text2"/>
                <w:sz w:val="28"/>
                <w:szCs w:val="28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/>
                <w:color w:val="44546A" w:themeColor="text2"/>
                <w:sz w:val="28"/>
                <w:szCs w:val="28"/>
                <w:lang w:eastAsia="uk-UA"/>
              </w:rPr>
              <w:t xml:space="preserve">2024 рік</w:t>
            </w:r>
            <w:r/>
          </w:p>
          <w:p>
            <w:pPr>
              <w:spacing w:lineRule="auto" w:line="240" w:after="150"/>
              <w:rPr>
                <w:rFonts w:ascii="Times New Roman" w:hAnsi="Times New Roman" w:eastAsia="Times New Roman"/>
                <w:color w:val="44546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5 268 410, 00</w:t>
            </w:r>
            <w:r/>
          </w:p>
        </w:tc>
      </w:tr>
    </w:tbl>
    <w:p>
      <w:pPr>
        <w:pStyle w:val="879"/>
        <w:numPr>
          <w:ilvl w:val="0"/>
          <w:numId w:val="6"/>
        </w:numPr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ОЧІКУВАНІ РЕЗУЛЬТАТИ ВИКОНАННЯ ПРОГРАМИ</w:t>
      </w:r>
      <w:r/>
    </w:p>
    <w:p>
      <w:pPr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Реалізація основних завдань Програми забезпечить:</w:t>
      </w:r>
      <w:r/>
    </w:p>
    <w:p>
      <w:pPr>
        <w:numPr>
          <w:ilvl w:val="0"/>
          <w:numId w:val="7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умов, що сприяють зміцненню здоров’я учнів закладів загальної середньої освіти, їхньому гармонійному розвитку;</w:t>
      </w:r>
      <w:r/>
    </w:p>
    <w:p>
      <w:pPr>
        <w:numPr>
          <w:ilvl w:val="0"/>
          <w:numId w:val="7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якісного, збалансованого та повноцінного харчування учнів закладів загальної середньої освіти;</w:t>
      </w:r>
      <w:r/>
    </w:p>
    <w:p>
      <w:pPr>
        <w:pStyle w:val="879"/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 безоплатним гарячим харчуванням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 рахунок коштів місцевого бюджету, відповідно до встановленого в закладі освіти режиму (кратності) харчування, учнів закладу загальної середньої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 числа категорій визначених даною Програмою;</w:t>
      </w:r>
      <w:r/>
    </w:p>
    <w:p>
      <w:pPr>
        <w:pStyle w:val="879"/>
        <w:numPr>
          <w:ilvl w:val="0"/>
          <w:numId w:val="7"/>
        </w:numPr>
        <w:ind w:right="-141"/>
        <w:jc w:val="both"/>
        <w:spacing w:lineRule="auto" w:line="240" w:after="0"/>
        <w:tabs>
          <w:tab w:val="left" w:pos="426" w:leader="none"/>
          <w:tab w:val="left" w:pos="851" w:leader="none"/>
        </w:tabs>
        <w:rPr>
          <w:rStyle w:val="881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забезпечення пільговим гарячим харчуванням учнів 5-11 класів, з оплатою в розмірі 50% від вартості харчування (діти з сімей в яких троє і більше дітей)</w:t>
      </w:r>
      <w:r>
        <w:rPr>
          <w:rStyle w:val="881"/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7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eastAsia="Times New Roman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раціональне та ефективне використання бюджетних коштів;</w:t>
      </w:r>
      <w:r/>
    </w:p>
    <w:p>
      <w:pPr>
        <w:numPr>
          <w:ilvl w:val="0"/>
          <w:numId w:val="7"/>
        </w:numPr>
        <w:jc w:val="both"/>
        <w:spacing w:lineRule="auto" w:line="240" w:after="100" w:afterAutospacing="1" w:before="100" w:beforeAutospacing="1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формування навичок правильного та здорового харчування.</w:t>
      </w:r>
      <w:r/>
    </w:p>
    <w:p>
      <w:pPr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 8. КОНТРОЛЬ ЗА ВИКОНАННЯМ ПРОГРАМИ</w:t>
      </w:r>
      <w:r/>
    </w:p>
    <w:p>
      <w:pPr>
        <w:ind w:firstLine="720"/>
        <w:jc w:val="both"/>
        <w:spacing w:lineRule="auto" w:line="240" w:after="15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Організація виконання Програми покладається на Відділ освіти Менської міської ради, Комунальну установу «Центр з обслуговування освітніх установ та закладів освіти», адміністрації  закладів загальної середньої освіти Менської ТГ.</w:t>
      </w:r>
      <w:r/>
    </w:p>
    <w:p>
      <w:pPr>
        <w:ind w:right="-141"/>
        <w:jc w:val="both"/>
        <w:spacing w:lineRule="auto" w:line="240" w:after="0" w:afterAutospacing="0"/>
        <w:shd w:val="clear" w:fill="FFFFFF" w:color="auto"/>
        <w:tabs>
          <w:tab w:val="left" w:pos="567" w:leader="none"/>
        </w:tabs>
        <w:rPr>
          <w:rFonts w:ascii="Arial" w:hAnsi="Arial" w:cs="Arial" w:eastAsia="Times New Roman"/>
          <w:color w:val="444444"/>
          <w:sz w:val="21"/>
          <w:szCs w:val="21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Контроль за ходом реалізації Програми здійснюється постійною комісією Менської міської ради з питань охорони здоров’я, соціального захисту населення, освіти, культури, молоді, фізкультури і спорту, </w:t>
      </w:r>
      <w:r>
        <w:rPr>
          <w:rFonts w:ascii="Times New Roman" w:hAnsi="Times New Roman"/>
          <w:sz w:val="28"/>
          <w:szCs w:val="28"/>
        </w:rPr>
        <w:t xml:space="preserve">заступником міського голови з питань діяльності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виконавчих органів </w:t>
      </w:r>
      <w:r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hAnsi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рищепою В.В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44546A" w:themeColor="text2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 w:afterAutospacing="0"/>
      </w:pPr>
      <w:r/>
      <w:r/>
    </w:p>
    <w:p>
      <w:pPr>
        <w:spacing w:lineRule="auto" w:line="240" w:after="0" w:afterAutospacing="0"/>
      </w:pPr>
      <w:r/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</w:t>
        <w:tab/>
        <w:tab/>
        <w:tab/>
        <w:tab/>
        <w:tab/>
        <w:tab/>
        <w:t xml:space="preserve">Ірина ЛУК’ЯНЕНКО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продовження додатку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1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1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2"/>
    <w:next w:val="872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7">
    <w:name w:val="Heading 1 Char"/>
    <w:basedOn w:val="873"/>
    <w:link w:val="696"/>
    <w:uiPriority w:val="9"/>
    <w:rPr>
      <w:rFonts w:ascii="Arial" w:hAnsi="Arial" w:cs="Arial" w:eastAsia="Arial"/>
      <w:sz w:val="40"/>
      <w:szCs w:val="40"/>
    </w:rPr>
  </w:style>
  <w:style w:type="paragraph" w:styleId="698">
    <w:name w:val="Heading 2"/>
    <w:basedOn w:val="872"/>
    <w:next w:val="872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9">
    <w:name w:val="Heading 2 Char"/>
    <w:basedOn w:val="873"/>
    <w:link w:val="698"/>
    <w:uiPriority w:val="9"/>
    <w:rPr>
      <w:rFonts w:ascii="Arial" w:hAnsi="Arial" w:cs="Arial" w:eastAsia="Arial"/>
      <w:sz w:val="34"/>
    </w:rPr>
  </w:style>
  <w:style w:type="paragraph" w:styleId="700">
    <w:name w:val="Heading 3"/>
    <w:basedOn w:val="872"/>
    <w:next w:val="872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1">
    <w:name w:val="Heading 3 Char"/>
    <w:basedOn w:val="873"/>
    <w:link w:val="700"/>
    <w:uiPriority w:val="9"/>
    <w:rPr>
      <w:rFonts w:ascii="Arial" w:hAnsi="Arial" w:cs="Arial" w:eastAsia="Arial"/>
      <w:sz w:val="30"/>
      <w:szCs w:val="30"/>
    </w:rPr>
  </w:style>
  <w:style w:type="paragraph" w:styleId="702">
    <w:name w:val="Heading 4"/>
    <w:basedOn w:val="872"/>
    <w:next w:val="872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3">
    <w:name w:val="Heading 4 Char"/>
    <w:basedOn w:val="873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>
    <w:name w:val="Heading 5"/>
    <w:basedOn w:val="872"/>
    <w:next w:val="872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5">
    <w:name w:val="Heading 5 Char"/>
    <w:basedOn w:val="873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>
    <w:name w:val="Heading 6"/>
    <w:basedOn w:val="872"/>
    <w:next w:val="872"/>
    <w:link w:val="7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7">
    <w:name w:val="Heading 6 Char"/>
    <w:basedOn w:val="873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>
    <w:name w:val="Heading 7"/>
    <w:basedOn w:val="872"/>
    <w:next w:val="872"/>
    <w:link w:val="7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9">
    <w:name w:val="Heading 7 Char"/>
    <w:basedOn w:val="873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>
    <w:name w:val="Heading 8"/>
    <w:basedOn w:val="872"/>
    <w:next w:val="872"/>
    <w:link w:val="7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1">
    <w:name w:val="Heading 8 Char"/>
    <w:basedOn w:val="873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>
    <w:name w:val="Heading 9"/>
    <w:basedOn w:val="872"/>
    <w:next w:val="872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>
    <w:name w:val="Heading 9 Char"/>
    <w:basedOn w:val="873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No Spacing"/>
    <w:qFormat/>
    <w:uiPriority w:val="1"/>
    <w:pPr>
      <w:spacing w:lineRule="auto" w:line="240" w:after="0" w:before="0"/>
    </w:pPr>
  </w:style>
  <w:style w:type="paragraph" w:styleId="715">
    <w:name w:val="Title"/>
    <w:basedOn w:val="872"/>
    <w:next w:val="872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>
    <w:name w:val="Title Char"/>
    <w:basedOn w:val="873"/>
    <w:link w:val="715"/>
    <w:uiPriority w:val="10"/>
    <w:rPr>
      <w:sz w:val="48"/>
      <w:szCs w:val="48"/>
    </w:rPr>
  </w:style>
  <w:style w:type="paragraph" w:styleId="717">
    <w:name w:val="Subtitle"/>
    <w:basedOn w:val="872"/>
    <w:next w:val="872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>
    <w:name w:val="Subtitle Char"/>
    <w:basedOn w:val="873"/>
    <w:link w:val="717"/>
    <w:uiPriority w:val="11"/>
    <w:rPr>
      <w:sz w:val="24"/>
      <w:szCs w:val="24"/>
    </w:rPr>
  </w:style>
  <w:style w:type="paragraph" w:styleId="719">
    <w:name w:val="Quote"/>
    <w:basedOn w:val="872"/>
    <w:next w:val="872"/>
    <w:link w:val="720"/>
    <w:qFormat/>
    <w:uiPriority w:val="29"/>
    <w:rPr>
      <w:i/>
    </w:rPr>
    <w:pPr>
      <w:ind w:left="720" w:right="720"/>
    </w:p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2"/>
    <w:next w:val="872"/>
    <w:link w:val="72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2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>
    <w:name w:val="Header Char"/>
    <w:basedOn w:val="873"/>
    <w:link w:val="723"/>
    <w:uiPriority w:val="99"/>
  </w:style>
  <w:style w:type="paragraph" w:styleId="725">
    <w:name w:val="Footer"/>
    <w:basedOn w:val="872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Footer Char"/>
    <w:basedOn w:val="873"/>
    <w:link w:val="725"/>
    <w:uiPriority w:val="99"/>
  </w:style>
  <w:style w:type="paragraph" w:styleId="727">
    <w:name w:val="Caption"/>
    <w:basedOn w:val="872"/>
    <w:next w:val="8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basedOn w:val="8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8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4 - Accent 1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9">
    <w:name w:val="Grid Table 4 - Accent 2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Grid Table 4 - Accent 3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1">
    <w:name w:val="Grid Table 4 - Accent 4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Grid Table 4 - Accent 5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3">
    <w:name w:val="Grid Table 4 - Accent 6"/>
    <w:basedOn w:val="8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4">
    <w:name w:val="Grid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1">
    <w:name w:val="Grid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3">
    <w:name w:val="List Table 2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4">
    <w:name w:val="List Table 2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5">
    <w:name w:val="List Table 2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6">
    <w:name w:val="List Table 2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7">
    <w:name w:val="List Table 2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8">
    <w:name w:val="List Table 2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9">
    <w:name w:val="List Table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1">
    <w:name w:val="List Table 6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2">
    <w:name w:val="List Table 6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3">
    <w:name w:val="List Table 6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4">
    <w:name w:val="List Table 6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5">
    <w:name w:val="List Table 6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6">
    <w:name w:val="List Table 6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7">
    <w:name w:val="List Table 7 Colorful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9">
    <w:name w:val="List Table 7 Colorful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0">
    <w:name w:val="List Table 7 Colorful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1">
    <w:name w:val="List Table 7 Colorful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2">
    <w:name w:val="List Table 7 Colorful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3">
    <w:name w:val="List Table 7 Colorful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4">
    <w:name w:val="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 &amp; Lined - Accent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2">
    <w:name w:val="Bordered &amp; Lined - Accent 1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3">
    <w:name w:val="Bordered &amp; Lined - Accent 2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4">
    <w:name w:val="Bordered &amp; Lined - Accent 3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5">
    <w:name w:val="Bordered &amp; Lined - Accent 4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6">
    <w:name w:val="Bordered &amp; Lined - Accent 5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7">
    <w:name w:val="Bordered &amp; Lined - Accent 6"/>
    <w:basedOn w:val="8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8">
    <w:name w:val="Bordered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9">
    <w:name w:val="Bordered - Accent 1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0">
    <w:name w:val="Bordered - Accent 2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1">
    <w:name w:val="Bordered - Accent 3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2">
    <w:name w:val="Bordered - Accent 4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3">
    <w:name w:val="Bordered - Accent 5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4">
    <w:name w:val="Bordered - Accent 6"/>
    <w:basedOn w:val="8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5">
    <w:name w:val="footnote text"/>
    <w:basedOn w:val="872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basedOn w:val="873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rPr>
      <w:sz w:val="20"/>
    </w:rPr>
    <w:pPr>
      <w:spacing w:lineRule="auto" w:line="240" w:after="0"/>
    </w:p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3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character" w:styleId="876">
    <w:name w:val="Hyperlink"/>
    <w:uiPriority w:val="99"/>
    <w:semiHidden/>
    <w:unhideWhenUsed/>
    <w:rPr>
      <w:color w:val="0563C1" w:themeColor="hyperlink"/>
      <w:u w:val="single"/>
    </w:rPr>
  </w:style>
  <w:style w:type="paragraph" w:styleId="877">
    <w:name w:val="HTML Preformatted"/>
    <w:basedOn w:val="872"/>
    <w:link w:val="87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78" w:customStyle="1">
    <w:name w:val="Стандартний HTML Знак"/>
    <w:basedOn w:val="873"/>
    <w:link w:val="877"/>
    <w:uiPriority w:val="99"/>
    <w:semiHidden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879">
    <w:name w:val="List Paragraph"/>
    <w:basedOn w:val="872"/>
    <w:qFormat/>
    <w:uiPriority w:val="34"/>
    <w:pPr>
      <w:contextualSpacing w:val="true"/>
      <w:ind w:left="720"/>
    </w:pPr>
  </w:style>
  <w:style w:type="paragraph" w:styleId="880" w:customStyle="1">
    <w:name w:val="rvps2"/>
    <w:basedOn w:val="872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1" w:customStyle="1">
    <w:name w:val="4247"/>
    <w:basedOn w:val="87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zakon.rada.gov.ua/laws/show/1768-14" TargetMode="External"/><Relationship Id="rId15" Type="http://schemas.openxmlformats.org/officeDocument/2006/relationships/hyperlink" Target="https://zakon.rada.gov.ua/laws/show/796-12" TargetMode="External"/><Relationship Id="rId16" Type="http://schemas.openxmlformats.org/officeDocument/2006/relationships/hyperlink" Target="https://zakon.rada.gov.ua/laws/show/3551-12" TargetMode="External"/><Relationship Id="rId17" Type="http://schemas.openxmlformats.org/officeDocument/2006/relationships/hyperlink" Target="https://zakon.rada.gov.ua/laws/show/1768-14" TargetMode="External"/><Relationship Id="rId18" Type="http://schemas.openxmlformats.org/officeDocument/2006/relationships/hyperlink" Target="https://zakon.rada.gov.ua/laws/show/796-12" TargetMode="External"/><Relationship Id="rId19" Type="http://schemas.openxmlformats.org/officeDocument/2006/relationships/hyperlink" Target="https://zakon.rada.gov.ua/laws/show/3551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9</cp:revision>
  <dcterms:created xsi:type="dcterms:W3CDTF">2021-11-24T10:01:00Z</dcterms:created>
  <dcterms:modified xsi:type="dcterms:W3CDTF">2021-12-13T07:17:08Z</dcterms:modified>
</cp:coreProperties>
</file>