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rFonts w:eastAsia="Batang"/>
          <w:color w:val="000000" w:themeColor="text1"/>
          <w:sz w:val="28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15 сесії </w:t>
      </w: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/>
      <w:r>
        <w:rPr>
          <w:bCs/>
          <w:iCs/>
          <w:sz w:val="28"/>
          <w:szCs w:val="28"/>
          <w:lang w:val="uk-UA" w:eastAsia="ru-RU"/>
        </w:rPr>
        <w:t xml:space="preserve"> 8 скликання</w:t>
      </w:r>
      <w:r>
        <w:rPr>
          <w:sz w:val="28"/>
        </w:rPr>
      </w:r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09 грудня 20</w:t>
      </w:r>
      <w:r>
        <w:rPr>
          <w:bCs/>
          <w:iCs/>
          <w:sz w:val="28"/>
          <w:szCs w:val="28"/>
          <w:lang w:val="uk-UA" w:eastAsia="ru-RU"/>
        </w:rPr>
        <w:t xml:space="preserve">21 року</w:t>
      </w:r>
      <w:r>
        <w:rPr>
          <w:bCs/>
          <w:iCs/>
          <w:sz w:val="28"/>
          <w:szCs w:val="28"/>
          <w:lang w:val="uk-UA" w:eastAsia="ru-RU"/>
        </w:rPr>
        <w:t xml:space="preserve">  №</w:t>
      </w:r>
      <w:r>
        <w:rPr>
          <w:bCs/>
          <w:iCs/>
          <w:sz w:val="28"/>
          <w:szCs w:val="28"/>
          <w:lang w:val="uk-UA" w:eastAsia="ru-RU"/>
        </w:rPr>
        <w:t xml:space="preserve"> 831</w:t>
      </w:r>
      <w:r>
        <w:rPr>
          <w:sz w:val="28"/>
        </w:rPr>
      </w:r>
    </w:p>
    <w:p>
      <w:pPr>
        <w:ind w:left="5670"/>
        <w:jc w:val="both"/>
        <w:spacing w:lineRule="auto" w:line="240" w:after="0"/>
        <w:rPr>
          <w:rFonts w:cs="Calibri" w:eastAsia="Batang"/>
          <w:color w:val="000000"/>
          <w:sz w:val="44"/>
          <w:szCs w:val="44"/>
          <w:lang w:val="uk-UA"/>
        </w:rPr>
      </w:pPr>
      <w:r>
        <w:rPr>
          <w:rFonts w:cs="Calibri" w:eastAsia="Batang"/>
          <w:color w:val="000000"/>
          <w:sz w:val="44"/>
          <w:szCs w:val="44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  <w:lang w:val="uk-UA"/>
        </w:rPr>
      </w:pPr>
      <w:r>
        <w:rPr>
          <w:rFonts w:cs="Calibri" w:eastAsia="Batang"/>
          <w:color w:val="000000"/>
          <w:sz w:val="52"/>
          <w:szCs w:val="52"/>
          <w:lang w:val="uk-UA"/>
        </w:rPr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ПРОГРАМА 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  <w:lang w:val="uk-UA" w:eastAsia="ru-RU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розвитку позашкільної освіти </w:t>
      </w:r>
      <w:r/>
    </w:p>
    <w:p>
      <w:pPr>
        <w:jc w:val="center"/>
        <w:spacing w:lineRule="auto" w:line="240" w:after="0"/>
        <w:tabs>
          <w:tab w:val="left" w:pos="2400" w:leader="none"/>
        </w:tabs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 w:themeColor="text1"/>
          <w:sz w:val="36"/>
          <w:szCs w:val="36"/>
          <w:lang w:val="uk-UA" w:eastAsia="ru-RU"/>
        </w:rPr>
        <w:t xml:space="preserve"> на 2022 – 2024 роки </w:t>
      </w:r>
      <w:r/>
    </w:p>
    <w:p>
      <w:pPr>
        <w:jc w:val="center"/>
        <w:spacing w:lineRule="auto" w:line="240"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color w:val="000000"/>
          <w:sz w:val="52"/>
          <w:szCs w:val="52"/>
        </w:rPr>
      </w:pPr>
      <w:r>
        <w:rPr>
          <w:rFonts w:cs="Calibri" w:eastAsia="Batang"/>
          <w:color w:val="000000"/>
          <w:sz w:val="52"/>
          <w:szCs w:val="52"/>
        </w:rPr>
      </w:r>
      <w:r/>
    </w:p>
    <w:p>
      <w:pPr>
        <w:jc w:val="center"/>
        <w:spacing w:lineRule="auto" w:line="240" w:after="120"/>
        <w:rPr>
          <w:rFonts w:cs="Calibri" w:eastAsia="Batang"/>
          <w:b/>
          <w:bCs/>
          <w:color w:val="000000"/>
          <w:sz w:val="36"/>
          <w:szCs w:val="36"/>
        </w:rPr>
      </w:pPr>
      <w:r>
        <w:rPr>
          <w:rFonts w:cs="Calibri" w:eastAsia="Batang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cs="Calibri" w:eastAsia="Batang"/>
          <w:color w:val="000000"/>
          <w:sz w:val="28"/>
          <w:szCs w:val="28"/>
        </w:rPr>
      </w:pPr>
      <w:r>
        <w:rPr>
          <w:rFonts w:cs="Calibri" w:eastAsia="Batang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cs="Calibri" w:eastAsia="Batang"/>
          <w:b/>
          <w:bCs/>
          <w:color w:val="000000"/>
          <w:sz w:val="28"/>
          <w:szCs w:val="28"/>
        </w:rPr>
      </w:pPr>
      <w:r>
        <w:rPr>
          <w:rFonts w:cs="Calibri" w:eastAsia="Batang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Мена 2021 </w:t>
      </w:r>
      <w:r/>
    </w:p>
    <w:p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</w:t>
      </w:r>
      <w:r/>
    </w:p>
    <w:p>
      <w:pPr>
        <w:ind w:left="360"/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ru-RU"/>
        </w:rPr>
        <w:t xml:space="preserve">на 2022-2024 роки </w:t>
      </w:r>
      <w:r/>
    </w:p>
    <w:p>
      <w:pPr>
        <w:jc w:val="center"/>
        <w:spacing w:lineRule="auto" w:line="240" w:after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</w:r>
      <w:r/>
    </w:p>
    <w:tbl>
      <w:tblPr>
        <w:tblW w:w="972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49"/>
        <w:gridCol w:w="5851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jc w:val="center"/>
          <w:trHeight w:val="14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Закони України «Про освіту», «Про позашкільну освіту», Положення про мистецьку школу </w:t>
            </w:r>
            <w:r>
              <w:rPr>
                <w:rFonts w:eastAsia="Calibri"/>
                <w:sz w:val="28"/>
                <w:szCs w:val="28"/>
                <w:lang w:val="uk-UA" w:eastAsia="ru-RU"/>
              </w:rPr>
              <w:t xml:space="preserve">(</w:t>
            </w:r>
            <w:r>
              <w:rPr>
                <w:rStyle w:val="618"/>
                <w:bCs/>
                <w:sz w:val="28"/>
                <w:szCs w:val="28"/>
                <w:shd w:val="clear" w:fill="FFFFFF" w:color="auto"/>
                <w:lang w:val="uk-UA"/>
              </w:rPr>
              <w:t xml:space="preserve">затверджено наказом  Міністерства  культури  України  09  серпня  2018   року № 686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 )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Відділ  освіти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Менська міська рада, відділ освіти Менської міської ради,  фінансове управління Менської міської ради, </w:t>
            </w:r>
            <w:r>
              <w:rPr>
                <w:sz w:val="26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8"/>
                <w:szCs w:val="28"/>
                <w:lang w:val="uk-UA" w:eastAsia="ru-RU"/>
              </w:rPr>
              <w:t xml:space="preserve"> Комунальна установа «Центр з обслуговування освітніх установ та закладів освіти», заклади позашкільної освіти, Степанівський</w:t>
            </w:r>
            <w:r>
              <w:rPr>
                <w:sz w:val="28"/>
                <w:szCs w:val="28"/>
                <w:lang w:val="uk-UA" w:eastAsia="ru-RU"/>
              </w:rPr>
              <w:t xml:space="preserve"> міжшкільний</w:t>
            </w:r>
            <w:r>
              <w:rPr>
                <w:sz w:val="28"/>
                <w:szCs w:val="28"/>
                <w:lang w:val="uk-UA" w:eastAsia="ru-RU"/>
              </w:rPr>
              <w:t xml:space="preserve"> навчально-виробничий комбінат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програми, всього</w:t>
            </w:r>
            <w:r/>
          </w:p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Всього – 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2024 рік  – 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 ОТГ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51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  Всього –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2022 рік  –  </w:t>
            </w: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  <w:p>
            <w:pPr>
              <w:ind w:firstLine="425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2023 рік  –  </w:t>
            </w: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2024 рік  –  </w:t>
            </w: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/>
          </w:p>
        </w:tc>
      </w:tr>
    </w:tbl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</w:t>
      </w:r>
      <w:r/>
    </w:p>
    <w:p>
      <w:pPr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Програма розвитку позашкільної освіти на 2022-2024 роки (далі - Програма) розроблена на виконання</w:t>
      </w:r>
      <w:r>
        <w:rPr>
          <w:color w:val="000000" w:themeColor="text1"/>
          <w:sz w:val="28"/>
          <w:szCs w:val="28"/>
          <w:lang w:val="uk-UA" w:eastAsia="ru-RU"/>
        </w:rPr>
        <w:t xml:space="preserve"> Законів України «Про освіту», «Про позашкільну освіту», згідно Положення про мистецьку школу </w:t>
      </w:r>
      <w:r>
        <w:rPr>
          <w:rFonts w:eastAsia="Calibri"/>
          <w:sz w:val="28"/>
          <w:szCs w:val="28"/>
          <w:lang w:val="uk-UA" w:eastAsia="ru-RU"/>
        </w:rPr>
        <w:t xml:space="preserve">(</w:t>
      </w:r>
      <w:r>
        <w:rPr>
          <w:rStyle w:val="618"/>
          <w:bCs/>
          <w:sz w:val="28"/>
          <w:szCs w:val="28"/>
          <w:shd w:val="clear" w:fill="FFFFFF" w:color="auto"/>
          <w:lang w:val="uk-UA"/>
        </w:rPr>
        <w:t xml:space="preserve">затверджено</w:t>
      </w:r>
      <w:r>
        <w:rPr>
          <w:rStyle w:val="618"/>
          <w:bCs/>
          <w:sz w:val="28"/>
          <w:szCs w:val="28"/>
          <w:shd w:val="clear" w:fill="FFFFFF" w:color="auto"/>
          <w:lang w:val="uk-UA"/>
        </w:rPr>
        <w:t xml:space="preserve">го</w:t>
      </w:r>
      <w:r>
        <w:rPr>
          <w:rStyle w:val="618"/>
          <w:bCs/>
          <w:sz w:val="28"/>
          <w:szCs w:val="28"/>
          <w:shd w:val="clear" w:fill="FFFFFF" w:color="auto"/>
          <w:lang w:val="uk-UA"/>
        </w:rPr>
        <w:t xml:space="preserve"> наказом  Міністерства  культури  України  09  серпня  2018   року № 686</w:t>
      </w:r>
      <w:r>
        <w:rPr>
          <w:sz w:val="28"/>
          <w:szCs w:val="28"/>
          <w:shd w:val="clear" w:fill="FFFFFF" w:color="auto"/>
          <w:lang w:val="uk-UA"/>
        </w:rPr>
        <w:t xml:space="preserve"> )</w:t>
      </w:r>
      <w:r>
        <w:rPr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Дана програма спрямована на створення рівного доступу до отримання дітьми якісної позашкільної освіти, поліпшення матеріально-технічної та навчальної бази закл</w:t>
      </w:r>
      <w:r>
        <w:rPr>
          <w:color w:val="000000" w:themeColor="text1"/>
          <w:sz w:val="28"/>
          <w:szCs w:val="28"/>
          <w:lang w:val="uk-UA" w:eastAsia="ru-RU"/>
        </w:rPr>
        <w:t xml:space="preserve">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 постійного духовного самовдосконалення. </w:t>
      </w:r>
      <w:r/>
    </w:p>
    <w:p>
      <w:pPr>
        <w:ind w:firstLine="54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ІІ. Визначення проблеми,  на розв’язання якої спрямована Програма</w:t>
      </w:r>
      <w:r/>
    </w:p>
    <w:p>
      <w:pPr>
        <w:ind w:firstLine="70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Важливу роль у вихованні підростаючого покоління відіграє позашкільна освіта, яка на сьогодні є чи не єдиною формою, де дитина мож</w:t>
      </w:r>
      <w:r>
        <w:rPr>
          <w:color w:val="000000" w:themeColor="text1"/>
          <w:sz w:val="28"/>
          <w:szCs w:val="28"/>
          <w:lang w:val="uk-UA" w:eastAsia="ru-RU"/>
        </w:rPr>
        <w:t xml:space="preserve">е реалізуватися в творчості. До того ж, заклади позашкільної  освіти  нерідко виступають осередками порятунку від занедбаності в сім’ї, байдужості дорослих, виправлення уже набутого негативного досвіду, відволікають підлітків від негативного впливу вулиці.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Позашкільна освіта є невід’ємним складником системи освіти, визначеної Конституцією України, законами України «Про освіту», «Про позашкільну освіту», і спрямована на розвиток здібносте</w:t>
      </w:r>
      <w:r>
        <w:rPr>
          <w:color w:val="000000" w:themeColor="text1"/>
          <w:sz w:val="28"/>
          <w:szCs w:val="28"/>
          <w:lang w:val="uk-UA"/>
        </w:rPr>
        <w:t xml:space="preserve">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системі позашкільної освіти Менської ТГ функціонує 4 заклади позашкільної освіти: Менський Центр</w:t>
      </w:r>
      <w:r>
        <w:rPr>
          <w:color w:val="000000" w:themeColor="text1"/>
          <w:sz w:val="28"/>
          <w:szCs w:val="28"/>
          <w:lang w:val="uk-UA"/>
        </w:rPr>
        <w:t xml:space="preserve"> дитячої та юнацької творчості, Менська дитячо-юнацька спортивна школа, Менська станція юних техніків та Менська музична школа, у яких визначені основні напрями освітньої діяльності закладів позашкільної освіти: художньо-естетичний, музичний, спортивний, е</w:t>
      </w:r>
      <w:r>
        <w:rPr>
          <w:color w:val="000000" w:themeColor="text1"/>
          <w:sz w:val="28"/>
          <w:szCs w:val="28"/>
          <w:lang w:val="uk-UA"/>
        </w:rPr>
        <w:t xml:space="preserve">колого-натуралістичний, валеологічний, туристсько-краєзнавчий, дослідницько-експериментальний тощо. З метою забезпечення доступності позашкільної освіти громадян в Менській міській раді мережа закладів позашкільної освіти стабільна протягом останніх років.</w:t>
      </w:r>
      <w:r/>
    </w:p>
    <w:p>
      <w:pPr>
        <w:ind w:firstLine="539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01.09.2021 рік, у</w:t>
      </w:r>
      <w:r>
        <w:rPr>
          <w:sz w:val="28"/>
          <w:szCs w:val="28"/>
          <w:lang w:val="uk-UA"/>
        </w:rPr>
        <w:t xml:space="preserve">  Менському центрі дитячої та юнацької творчості працює 21 гурток(40 груп), в яких 602 дітей, у Менській станції юних техніків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14 гуртків(28 груп), в них займаються 390 учнів, у Менській дитячо-юнацькій спортивній школі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16 груп, в яких  займається 210 дітей, в Менській дитячій музичній школі навчається 214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дітей. Всього 1416 дітей громади охоплені </w:t>
      </w:r>
      <w:r>
        <w:rPr>
          <w:sz w:val="28"/>
          <w:szCs w:val="28"/>
          <w:lang w:val="uk-UA"/>
        </w:rPr>
        <w:t xml:space="preserve">заняттями  в закладах позашкільної освіти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Завдяки накопиченому досвіду і традиціям,  заклади позашкільної освіти Менської ТГ,  наполегливо працюють над розвитком здібностей дітей у різних </w:t>
      </w:r>
      <w:r>
        <w:rPr>
          <w:color w:val="000000" w:themeColor="text1"/>
          <w:sz w:val="28"/>
          <w:szCs w:val="28"/>
          <w:lang w:val="uk-UA"/>
        </w:rPr>
        <w:t xml:space="preserve">сферах, надають здобувачам освіти можливості поглиблення знань, сприяють професійній підготовці, досягаючи при цьому дуже високих результатів.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Всі заклади позашкільної освіти Менської міської ради у 2019-2021 роках  мали велику результативність роботи, вихованці брали активну участь у багатьох</w:t>
      </w:r>
      <w:r>
        <w:rPr>
          <w:color w:val="000000" w:themeColor="text1"/>
          <w:sz w:val="28"/>
          <w:szCs w:val="28"/>
          <w:lang w:val="uk-UA" w:eastAsia="ru-RU"/>
        </w:rPr>
        <w:t xml:space="preserve"> Міжнародних, Всеукраїнських, обласних</w:t>
      </w:r>
      <w:r>
        <w:rPr>
          <w:color w:val="000000" w:themeColor="text1"/>
          <w:sz w:val="28"/>
          <w:szCs w:val="28"/>
          <w:lang w:val="uk-UA"/>
        </w:rPr>
        <w:t xml:space="preserve"> фестивалях, конкурсах, змаганнях і займали призові місця.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 Менському центрі дитячої та юнацької творчості діє три творчих колективи, це -  танцювальні «Веселий каблучок», «Барвінок» та зразковий спортивно-цирковий колектив «Фієста». У 2021 році  було присвоєно почесне звання </w:t>
      </w:r>
      <w:r>
        <w:rPr>
          <w:sz w:val="28"/>
          <w:szCs w:val="28"/>
          <w:lang w:val="uk-UA"/>
        </w:rPr>
        <w:t xml:space="preserve">«Народний художній колектив»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спортивно-цирковому колективу «Фієста», керівник Анжела Цигипа, у 2020 році присвоєно  почесне звання </w:t>
      </w:r>
      <w:r>
        <w:rPr>
          <w:sz w:val="28"/>
          <w:szCs w:val="28"/>
          <w:lang w:val="uk-UA"/>
        </w:rPr>
        <w:t xml:space="preserve">«Зразковий художній колектив»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танцювальному колективу «Барвінок», керівник Вікторія Кулагіна. У 2020-2021 навчальному році вихованці Менського центру дитячої та юнацької творчості стали переможцями  у різноманітних тематичних конкурсах: </w:t>
      </w:r>
      <w:r>
        <w:rPr>
          <w:color w:val="000000" w:themeColor="text1"/>
          <w:sz w:val="28"/>
          <w:szCs w:val="28"/>
          <w:lang w:val="en-US"/>
        </w:rPr>
        <w:t xml:space="preserve">VII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Міжнародний дистанційний мистецький фестиваль-конкурс «</w:t>
      </w:r>
      <w:r>
        <w:rPr>
          <w:color w:val="000000" w:themeColor="text1"/>
          <w:sz w:val="28"/>
          <w:szCs w:val="28"/>
          <w:lang w:val="en-US"/>
        </w:rPr>
        <w:t xml:space="preserve">Grand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autumn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 та три дипломи І ступеня); Міжнародний багатожанровий інт</w:t>
      </w:r>
      <w:r>
        <w:rPr>
          <w:color w:val="000000" w:themeColor="text1"/>
          <w:sz w:val="28"/>
          <w:szCs w:val="28"/>
          <w:lang w:val="uk-UA"/>
        </w:rPr>
        <w:t xml:space="preserve">ерент фестиваль-конкурс «Самоцвіти-Країна безмежних можливостей» (два дипломи Міні Гран-прі); Міжнародний фестиваль мистецтв «Зоряна брама» (три дипломи І ступеня); Всеукраїнський багатожанровий конкурс мистецтв «Зимові забави» (чотири дипломи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remote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multigenre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ARTISTIC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ARSENAL</w:t>
      </w:r>
      <w:r>
        <w:rPr>
          <w:color w:val="000000" w:themeColor="text1"/>
          <w:sz w:val="28"/>
          <w:szCs w:val="28"/>
          <w:lang w:val="uk-UA"/>
        </w:rPr>
        <w:t xml:space="preserve">» (диплом гран-прі,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World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USA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2021» (диплом І ступеня і два дипломи ІІ ступеня); Міжнародний багатожанровий онлайн-фестиваль «</w:t>
      </w:r>
      <w:r>
        <w:rPr>
          <w:color w:val="000000" w:themeColor="text1"/>
          <w:sz w:val="28"/>
          <w:szCs w:val="28"/>
          <w:lang w:val="en-US"/>
        </w:rPr>
        <w:t xml:space="preserve">ZIRKA</w:t>
      </w:r>
      <w:r>
        <w:rPr>
          <w:color w:val="000000" w:themeColor="text1"/>
          <w:sz w:val="28"/>
          <w:szCs w:val="28"/>
          <w:lang w:val="uk-UA"/>
        </w:rPr>
        <w:t xml:space="preserve">» «</w:t>
      </w:r>
      <w:r>
        <w:rPr>
          <w:color w:val="000000" w:themeColor="text1"/>
          <w:sz w:val="28"/>
          <w:szCs w:val="28"/>
          <w:lang w:val="en-US"/>
        </w:rPr>
        <w:t xml:space="preserve">Euro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Stars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</w:t>
      </w:r>
      <w:r>
        <w:rPr>
          <w:color w:val="000000" w:themeColor="text1"/>
          <w:sz w:val="28"/>
          <w:szCs w:val="28"/>
          <w:lang w:val="uk-UA"/>
        </w:rPr>
        <w:t xml:space="preserve"> 2020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Дистанційний міжнародний фестиваль-конкурс «Осінній ЗлатаФест Золоті таланти України» (диплом І ступеня); Всеукраїнський дитячий фестиваль мистецтв «Лавина талантів» (диплом І ступеня); Міжнародний конкурс «Сузір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 України  Європа» (диплом І ступеня); Міжнародний онлайн фестиваль- конкурс «</w:t>
      </w:r>
      <w:r>
        <w:rPr>
          <w:color w:val="000000" w:themeColor="text1"/>
          <w:sz w:val="28"/>
          <w:szCs w:val="28"/>
          <w:lang w:val="en-US"/>
        </w:rPr>
        <w:t xml:space="preserve">All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colours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of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Art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 </w:t>
      </w:r>
      <w:r>
        <w:rPr>
          <w:color w:val="000000" w:themeColor="text1"/>
          <w:sz w:val="28"/>
          <w:szCs w:val="28"/>
          <w:lang w:val="en-US"/>
        </w:rPr>
        <w:t xml:space="preserve">VIII</w:t>
      </w:r>
      <w:r>
        <w:rPr>
          <w:color w:val="000000" w:themeColor="text1"/>
          <w:sz w:val="28"/>
          <w:szCs w:val="28"/>
          <w:lang w:val="uk-UA"/>
        </w:rPr>
        <w:t xml:space="preserve"> Міжнародний дистанційний мистецький фестиваль-конкурс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en-US"/>
        </w:rPr>
        <w:t xml:space="preserve">GRANDFEST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WINTER</w:t>
      </w:r>
      <w:r>
        <w:rPr>
          <w:color w:val="000000" w:themeColor="text1"/>
          <w:sz w:val="28"/>
          <w:szCs w:val="28"/>
          <w:lang w:val="uk-UA"/>
        </w:rPr>
        <w:t xml:space="preserve">» (диплом І ступеня); дистанційний Міжнародний конкурс-фестиваль творчості «</w:t>
      </w:r>
      <w:r>
        <w:rPr>
          <w:color w:val="000000" w:themeColor="text1"/>
          <w:sz w:val="28"/>
          <w:szCs w:val="28"/>
          <w:lang w:val="en-US"/>
        </w:rPr>
        <w:t xml:space="preserve">ProFest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(диплом І ступеня); </w:t>
      </w:r>
      <w:r>
        <w:rPr>
          <w:color w:val="000000" w:themeColor="text1"/>
          <w:sz w:val="28"/>
          <w:szCs w:val="28"/>
          <w:lang w:val="en-US"/>
        </w:rPr>
        <w:t xml:space="preserve">INTERNATIONAL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COMPETITION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FESTIVAL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EGYOT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FORUM</w:t>
      </w:r>
      <w:r>
        <w:rPr>
          <w:color w:val="000000" w:themeColor="text1"/>
          <w:sz w:val="28"/>
          <w:szCs w:val="28"/>
          <w:lang w:val="uk-UA"/>
        </w:rPr>
        <w:t xml:space="preserve">-</w:t>
      </w:r>
      <w:r>
        <w:rPr>
          <w:color w:val="000000" w:themeColor="text1"/>
          <w:sz w:val="28"/>
          <w:szCs w:val="28"/>
          <w:lang w:val="en-US"/>
        </w:rPr>
        <w:t xml:space="preserve">FEST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фестиваль-конкурс талантів </w:t>
      </w:r>
      <w:r>
        <w:rPr>
          <w:color w:val="000000" w:themeColor="text1"/>
          <w:sz w:val="28"/>
          <w:szCs w:val="28"/>
          <w:lang w:val="en-US"/>
        </w:rPr>
        <w:t xml:space="preserve">EUROPEAN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TALENT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SHOW</w:t>
      </w:r>
      <w:r>
        <w:rPr>
          <w:color w:val="000000" w:themeColor="text1"/>
          <w:sz w:val="28"/>
          <w:szCs w:val="28"/>
          <w:lang w:val="uk-UA"/>
        </w:rPr>
        <w:t xml:space="preserve"> (диплом І ступеня); Міжнародний багатожанровий дистанційний фестиваль-конкурс «Різдвяна зірка» (диплом І ступеня) тощо.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2019-2020 навчальному році вихованці ЦДЮТ поповнили свої творчі здобутки новими пер</w:t>
      </w:r>
      <w:r>
        <w:rPr>
          <w:color w:val="000000" w:themeColor="text1"/>
          <w:sz w:val="28"/>
          <w:szCs w:val="28"/>
          <w:lang w:val="uk-UA"/>
        </w:rPr>
        <w:t xml:space="preserve">емогами та нагородами.  У  Міжнародних, Всеукраїнських фестивалях – конкурсах здобули чотири дипломи Гран-прі (Міжнародний фестиваль-конкурс «Талановиті діти України», Всеукраїнський конкурс-фестиваль «Весняний зорепад»); тринадцять дипломів І ступеня,  5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дипломів ІІ ступеня і три дипломи ІІІ ступеня. Також, мають вагомі результати на обласних  фестивалях і конкурсах.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 2020-2021 навчального року, учасники гуртків  Станції юних техніків  брали активну участь у різноманітних конкурсах, фестивалях, </w:t>
      </w:r>
      <w:r>
        <w:rPr>
          <w:color w:val="000000" w:themeColor="text1"/>
          <w:sz w:val="28"/>
          <w:szCs w:val="28"/>
          <w:lang w:val="uk-UA"/>
        </w:rPr>
        <w:t xml:space="preserve">виставках і отримали ряд нагород: Всеукраїнський багатожанровий фестиваль мистецтва «Святкова зоря-2020» (диплом Гран-прі); Всеукраїнський фестиваль «Слобожанські</w:t>
      </w:r>
      <w:r>
        <w:rPr>
          <w:color w:val="000000" w:themeColor="text1"/>
          <w:sz w:val="28"/>
          <w:szCs w:val="28"/>
          <w:lang w:val="uk-UA"/>
        </w:rPr>
        <w:t xml:space="preserve"> візерунки» (диплом Гран-прі); обласний етап Всеукраїнської виставки-конкурсу з початкового технічного моделювання (чотири дипломи І ступеня, диплом ІІ ступеня, чотири дипломи ІІІ ступеня); обласна виставка «Знай і люби свій край» (два дипломи І ступеня, п</w:t>
      </w:r>
      <w:r>
        <w:rPr>
          <w:color w:val="000000" w:themeColor="text1"/>
          <w:sz w:val="28"/>
          <w:szCs w:val="28"/>
          <w:lang w:val="uk-UA"/>
        </w:rPr>
        <w:t xml:space="preserve">’</w:t>
      </w:r>
      <w:r>
        <w:rPr>
          <w:color w:val="000000" w:themeColor="text1"/>
          <w:sz w:val="28"/>
          <w:szCs w:val="28"/>
          <w:lang w:val="uk-UA"/>
        </w:rPr>
        <w:t xml:space="preserve">ять дипломів ІІ ступеня і два дипломи ІІІ ступеня); обласний етап Всеукраїнських змагань учнівської молоді з картингу (два дипломи ІІ ступеня та диплом ІІІ ступеня). А також стали переможцями в </w:t>
      </w:r>
      <w:r>
        <w:rPr>
          <w:sz w:val="28"/>
          <w:szCs w:val="28"/>
          <w:lang w:val="uk-UA"/>
        </w:rPr>
        <w:t xml:space="preserve">обласному етапі Всеукраїнської виставки-конкурсу з науково-технічної творчості учнівської молоді «Наш пошук і творчість – тобі, Україно!»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навчальному році  вихованці гуртків СЮТ здобули у Всеукраїнських конкурсах - два дипломи І ступеня, чотири дипломи ІІ ступеня та сім дипломів</w:t>
      </w:r>
      <w:r>
        <w:rPr>
          <w:sz w:val="28"/>
          <w:szCs w:val="28"/>
          <w:lang w:val="uk-UA"/>
        </w:rPr>
        <w:t xml:space="preserve"> ІІІ ступеня (Всеукраїнська виставка –конкурс «Знай і люби свій край», Всеукраїнська виставка «Наш пошук і творчість – тобі, Україно!). В обласних конкурсах мали  наступні результати – 13 дипломів І ступеня, 22 дипломи ІІ ступеня і 20 дипломів ІІІ ступеня.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Основ</w:t>
      </w:r>
      <w:r>
        <w:rPr>
          <w:sz w:val="28"/>
          <w:szCs w:val="28"/>
          <w:lang w:val="uk-UA" w:eastAsia="ru-RU"/>
        </w:rPr>
        <w:t xml:space="preserve">ним завданням Менської дитячо-юнацької спортивної школи було і є спрямування зусиль тренерсько-викладацького складу на зміцнення здоров’я, розвиток фізичних, морально-вольових та інтелектуальних здібностей дитини з метою формування гармонійної особистості.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ці</w:t>
      </w:r>
      <w:r>
        <w:rPr>
          <w:sz w:val="28"/>
          <w:szCs w:val="28"/>
          <w:lang w:val="uk-UA"/>
        </w:rPr>
        <w:t xml:space="preserve"> вихованці Менської ДЮСШ брали участь у багатьох спортивних змаганнях </w:t>
      </w:r>
      <w:r>
        <w:rPr>
          <w:sz w:val="28"/>
          <w:szCs w:val="28"/>
          <w:lang w:val="uk-UA"/>
        </w:rPr>
        <w:t xml:space="preserve">і мають  вагомий результат: Чемпіонат України з п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ятиборства (диплом ІІ ст</w:t>
      </w:r>
      <w:r>
        <w:rPr>
          <w:sz w:val="28"/>
          <w:szCs w:val="28"/>
          <w:lang w:val="uk-UA"/>
        </w:rPr>
        <w:t xml:space="preserve">упеня); Чемпіонат України зі штовхання ядра (диплом ІІ ступеня); Чемпіонат України зі стрибків у висоту (диплом ІІІ ступеня); за перемогу у Чемпіонаті області з вільної боротьби  мають два дипломи І ступеня, чотири ІІ ступеня і шість дипломів ІІІ ступеня. </w:t>
      </w:r>
      <w:r/>
    </w:p>
    <w:p>
      <w:pPr>
        <w:ind w:firstLine="720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2020 рік у Міжнародних, Всеукраїнських змаганнях юні спортсмени вибороли один диплом І ступеня (Всеукраїнськ</w:t>
      </w:r>
      <w:r>
        <w:rPr>
          <w:sz w:val="28"/>
          <w:szCs w:val="28"/>
          <w:lang w:val="uk-UA"/>
        </w:rPr>
        <w:t xml:space="preserve">і змагання з триборства), три дипломи ІІ ступеня та два дипломи ІІІ ступеня. Також, мали вагомі результати на обласних конкурсах – вісім дипломів І ступеня (чемпіонати області з легкої атлетики, з вільної боротьби, з панкратіону), сім дипломів ІІ ступеня. </w:t>
      </w:r>
      <w:r/>
    </w:p>
    <w:p>
      <w:pPr>
        <w:ind w:firstLine="720"/>
        <w:jc w:val="both"/>
        <w:spacing w:lineRule="auto" w:line="240" w:after="0"/>
        <w:rPr>
          <w:color w:val="333333"/>
          <w:sz w:val="28"/>
          <w:szCs w:val="28"/>
          <w:shd w:val="clear" w:fill="FFFFFF" w:color="auto"/>
          <w:lang w:val="uk-UA"/>
        </w:rPr>
      </w:pPr>
      <w:r>
        <w:rPr>
          <w:color w:val="333333"/>
          <w:sz w:val="28"/>
          <w:szCs w:val="28"/>
          <w:shd w:val="clear" w:fill="FFFFFF" w:color="auto"/>
          <w:lang w:val="uk-UA"/>
        </w:rPr>
        <w:t xml:space="preserve">З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авдання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Менської дитячої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музичної школи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прищепити дітям любов до музики, розкрити музичні здібності дитини, розширити її кругозір, допомогти удосконалитися в естетичному плані, а найбільш обдарованим – продовжити свою професійну освіту. 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При музичній школі діють такі дитячі кол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ективи – вокальний ансамбль «Співоча пташка», вокальний ансамбль «Домісольки», оркестр народних інструментів «Доміно», ансамбль бандуристів «Вишиванка», ансамбль «Мозаїка», ансамбль баяністів, дитячий духовий оркестр. Протягом 2020-2021 навчального року ви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хованці музичної школи брали активну участь у Міжнародних, Всеукраїнських конурсах, та мають такі результати: Міжнародний фестиваль-конкурс «Яскраві таланти осені» (диплом Гран-прі)»; Міжнародний фестиваль-конкурс «Таланти 21 століття» (диплом І ступеня);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XXX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Міжнародний фестиваль-конкурс «Свято талантів» (диплом І ступеня); Канадсько-український фестиваль юнацької та дитячої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творчості (диплом І ступеня); Всеукраїнський конкурс «Олімп перемого» (десять дипломів І ступеня, вісім дипломів ІІ ступеня); 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IV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Міжнародний фестиваль-конкурс «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Soloviov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333333"/>
          <w:sz w:val="28"/>
          <w:szCs w:val="28"/>
          <w:shd w:val="clear" w:fill="FFFFFF" w:color="auto"/>
          <w:lang w:val="en-US"/>
        </w:rPr>
        <w:t xml:space="preserve">ART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(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два дипломи І ступеня); Міжнародний фестиваль-конкурс «Соняшник» (два дипломи І ступеня, два дипломи ІІ ступеня) та інші.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fill="FFFFFF" w:color="auto"/>
          <w:lang w:val="uk-UA"/>
        </w:rPr>
        <w:t xml:space="preserve">У 2019-2020 навчальному році вихованці музичної школи вибороли чимало перемог і нагород на Міжнародн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их, Всеукраїнських та обласних конкурсах. Диплом Гран-прі у Міжнародному фестивалі-конкурсі «Мелодії моря»;  14 дипломи І ступеня та вісім дипломів ІІ ступеня за Міжнародні та Всеукраїнські конкурси. Значні результати мали на обласних фестивалях-конкурсах.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ru-RU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У Менській ТГ заклади позашкільної освіти набувають особливої популярн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ості, як центри розвитку творчої особистості, її самореалізації та професійного самовизначення.  </w:t>
      </w:r>
      <w:r/>
    </w:p>
    <w:p>
      <w:pPr>
        <w:ind w:firstLine="720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 xml:space="preserve">На даному етапі організація і проведення освітньої роботи з учнівською молоддю у закладах позашкільної освіти ускладнюється слабким станом матеріально-технічної бази закладів, що впливає на якісне проведення гурткової роботи, відсутністю не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обхідного технічного обладнання, туристичного спорядження, сценічного одягу, суттєво знижує результативність позашкільної освіти, впливає на рівень роботи даних  закладів освіти. Більшість витрат здійснюється за рахунок спонсорських та батьківських коштів.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Актуальним є питання забезпечення закладів позашкільної освіти сучасною комп’ютерною технікою, ліцензійними електронни</w:t>
      </w:r>
      <w:r>
        <w:rPr>
          <w:color w:val="000000" w:themeColor="text1"/>
          <w:sz w:val="28"/>
          <w:szCs w:val="28"/>
          <w:lang w:val="uk-UA" w:eastAsia="ru-RU"/>
        </w:rPr>
        <w:t xml:space="preserve">ми засобами навчального призначення, мультимедійним обладнанням. Система позашкільної освіти потребує подальшого розвитку, а саме:  мережі гуртків, секцій, творчих об’єднань, модернізації матеріально-технічного, науково-методичного, кадрового забезпечення.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ІІІ. Мета  та основні завдання Програми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Метою цієї Програми є вдосконалення позашкільної освіти шляхом надання п</w:t>
      </w: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освіту. 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fill="FFFFFF" w:color="auto"/>
          <w:lang w:val="uk-UA" w:eastAsia="ru-RU"/>
        </w:rPr>
        <w:t xml:space="preserve">Основ</w:t>
      </w:r>
      <w:r>
        <w:rPr>
          <w:color w:val="000000" w:themeColor="text1"/>
          <w:sz w:val="28"/>
          <w:szCs w:val="28"/>
          <w:lang w:val="uk-UA" w:eastAsia="ru-RU"/>
        </w:rPr>
        <w:t xml:space="preserve">ними завданнями Програми є: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вивчення проблемних питань щодо виховання молоді за сучасних соціальних умов;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сприяння участі вихованців </w:t>
      </w:r>
      <w:r>
        <w:rPr>
          <w:color w:val="000000" w:themeColor="text1"/>
          <w:sz w:val="28"/>
          <w:szCs w:val="28"/>
          <w:lang w:val="uk-UA" w:eastAsia="ru-RU"/>
        </w:rPr>
        <w:t xml:space="preserve">закладів позашкільної освіти, творчих колективів у різноманітних конкурсах, фестивалях, урочистих заходах, спортивних змаганнях тощо</w:t>
      </w:r>
      <w:r>
        <w:rPr>
          <w:color w:val="000000" w:themeColor="text1"/>
          <w:sz w:val="28"/>
          <w:szCs w:val="28"/>
          <w:lang w:val="uk-UA" w:eastAsia="ru-RU"/>
        </w:rPr>
        <w:t xml:space="preserve">,</w:t>
      </w:r>
      <w:r>
        <w:rPr>
          <w:color w:val="000000" w:themeColor="text1"/>
          <w:sz w:val="28"/>
          <w:szCs w:val="28"/>
          <w:lang w:val="uk-UA" w:eastAsia="ru-RU"/>
        </w:rPr>
        <w:t xml:space="preserve"> шляхом надання шкільного автобусу, на договірній основі, відповідно до рішення  другої сесії  восьмого скликання Менської міської ради від 22 січня  2021 року № 191 «Про затвердження Програми «Шкільний автобус» на 2021-2025 роки».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606"/>
        <w:numPr>
          <w:ilvl w:val="0"/>
          <w:numId w:val="1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розвиток і підтримка технічного напряму роботи гуртків.</w:t>
      </w:r>
      <w:r/>
    </w:p>
    <w:p>
      <w:pPr>
        <w:pStyle w:val="606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right" w:pos="7767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ІV. Обсяги та джерела фінансування, строки виконання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2022-2024 роки.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</w:t>
      </w:r>
      <w:r>
        <w:rPr>
          <w:color w:val="000000" w:themeColor="text1"/>
          <w:sz w:val="28"/>
          <w:szCs w:val="28"/>
          <w:lang w:val="uk-UA" w:eastAsia="ru-RU"/>
        </w:rPr>
        <w:t xml:space="preserve">коштів  міського бюджету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коштів з інших джерел, не заборонених законодавством.</w:t>
      </w:r>
      <w:r/>
    </w:p>
    <w:p>
      <w:pPr>
        <w:ind w:firstLine="720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Прогнозований обсяг коштів, що планується залучити до фінансування, передбачається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у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сумі</w:t>
      </w:r>
      <w:r>
        <w:rPr>
          <w:rFonts w:eastAsia="Calibri"/>
          <w:sz w:val="28"/>
          <w:szCs w:val="28"/>
          <w:lang w:val="uk-UA"/>
        </w:rPr>
        <w:t xml:space="preserve"> 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763805 </w:t>
      </w:r>
      <w:r>
        <w:rPr>
          <w:sz w:val="28"/>
          <w:szCs w:val="28"/>
          <w:lang w:val="uk-UA" w:eastAsia="ru-RU"/>
        </w:rPr>
        <w:t xml:space="preserve">грн.  З них  </w:t>
      </w:r>
      <w:r>
        <w:rPr>
          <w:sz w:val="28"/>
          <w:szCs w:val="28"/>
          <w:lang w:val="uk-UA" w:eastAsia="ru-RU"/>
        </w:rPr>
        <w:t xml:space="preserve">592235 </w:t>
      </w:r>
      <w:r>
        <w:rPr>
          <w:sz w:val="28"/>
          <w:szCs w:val="28"/>
          <w:lang w:val="uk-UA" w:eastAsia="ru-RU"/>
        </w:rPr>
        <w:t xml:space="preserve">грн на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премі</w:t>
      </w:r>
      <w:r>
        <w:rPr>
          <w:sz w:val="28"/>
          <w:szCs w:val="28"/>
          <w:lang w:val="uk-UA" w:eastAsia="ru-RU"/>
        </w:rPr>
        <w:t xml:space="preserve">ювання</w:t>
      </w:r>
      <w:r>
        <w:rPr>
          <w:sz w:val="28"/>
          <w:szCs w:val="28"/>
          <w:lang w:val="uk-UA" w:eastAsia="ru-RU"/>
        </w:rPr>
        <w:t xml:space="preserve">,  </w:t>
      </w:r>
      <w:r>
        <w:rPr>
          <w:sz w:val="28"/>
          <w:szCs w:val="28"/>
          <w:lang w:val="uk-UA" w:eastAsia="ru-RU"/>
        </w:rPr>
        <w:t xml:space="preserve">  171570 </w:t>
      </w:r>
      <w:r>
        <w:rPr>
          <w:sz w:val="28"/>
          <w:szCs w:val="28"/>
          <w:lang w:val="uk-UA" w:eastAsia="ru-RU"/>
        </w:rPr>
        <w:t xml:space="preserve"> грн на інші видатки.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V. Перелік заходів Програми та результативні показники </w:t>
      </w:r>
      <w:r/>
    </w:p>
    <w:p>
      <w:pPr>
        <w:jc w:val="both"/>
        <w:spacing w:lineRule="auto" w:line="240" w:after="0"/>
        <w:rPr>
          <w:b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 xml:space="preserve">Заходи з виконання Програми, спрямовані на досягнення мети, визначені у додатках. </w:t>
      </w:r>
      <w:r/>
    </w:p>
    <w:p>
      <w:pPr>
        <w:jc w:val="center"/>
        <w:spacing w:lineRule="auto" w:line="240" w:after="0"/>
        <w:rPr>
          <w:color w:val="00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lang w:val="uk-UA" w:eastAsia="ru-RU"/>
        </w:rPr>
        <w:t xml:space="preserve">Результативні показники: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Програми дасть змогу: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та розвинути мережу гуртків, клубів, творчих об’єднань тощо у  закладах позашкільної освіти; </w:t>
      </w:r>
      <w:r>
        <w:rPr>
          <w:color w:val="000000" w:themeColor="text1"/>
          <w:sz w:val="28"/>
          <w:szCs w:val="28"/>
          <w:lang w:val="uk-UA" w:eastAsia="ru-RU"/>
        </w:rPr>
        <w:tab/>
        <w:t xml:space="preserve">зміцнити матеріально-технічну базу закладів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збільшити охоплення дітей позашкільною освітою до 70% з метою задоволення їх освітньо-культурних  потреб, а також потреб у професійному самовизначенні і творчій самореалізації;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забезпечити умови підвищення кваліфікації педагогічних кадрів закладів позашкільної освіти;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підвищити рівень проведення масових заходів;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удосконалити систему виявлення та підтримки обдарованої учнівської молоді;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створити умови для подальшого розвитку дослідницько-експериментального напрямку діяльності учнів.</w:t>
      </w:r>
      <w:r/>
    </w:p>
    <w:p>
      <w:pPr>
        <w:pStyle w:val="606"/>
        <w:numPr>
          <w:ilvl w:val="0"/>
          <w:numId w:val="2"/>
        </w:numPr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Координація та контроль за ходом виконання Програми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освітніх установ та закладів освіти».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</w:t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розвитку позашкільної освіти на 2022-2024роки </w:t>
      </w:r>
      <w:r/>
    </w:p>
    <w:tbl>
      <w:tblPr>
        <w:tblpPr w:horzAnchor="margin" w:tblpX="-77" w:vertAnchor="text" w:tblpY="312" w:leftFromText="180" w:topFromText="0" w:rightFromText="180" w:bottomFromText="200"/>
        <w:tblW w:w="94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86"/>
        <w:gridCol w:w="1483"/>
        <w:gridCol w:w="1418"/>
        <w:gridCol w:w="159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Етапи виконання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Орієнтовні  обсяги видатків (усього), </w:t>
            </w:r>
            <w:r>
              <w:rPr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грн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2022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2023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2024 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ОТГ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6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763805</w:t>
            </w:r>
            <w:r/>
          </w:p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3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237570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245570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280665</w:t>
            </w:r>
            <w:r/>
          </w:p>
        </w:tc>
      </w:tr>
    </w:tbl>
    <w:p>
      <w:pPr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</w:p>
    <w:p>
      <w:pPr>
        <w:spacing w:lineRule="auto" w:line="240" w:after="0" w:afterAutospacing="0"/>
        <w:rPr>
          <w:b/>
          <w:color w:val="000000" w:themeColor="text1"/>
          <w:sz w:val="27"/>
          <w:szCs w:val="27"/>
          <w:highlight w:val="none"/>
          <w:lang w:val="uk-UA" w:eastAsia="ru-RU"/>
        </w:rPr>
      </w:pP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</w:p>
    <w:p>
      <w:pPr>
        <w:spacing w:lineRule="auto" w:line="240" w:after="0" w:afterAutospacing="0"/>
        <w:rPr>
          <w:b/>
          <w:color w:val="000000" w:themeColor="text1"/>
          <w:sz w:val="27"/>
          <w:szCs w:val="27"/>
          <w:highlight w:val="none"/>
          <w:lang w:val="uk-UA" w:eastAsia="ru-RU"/>
        </w:rPr>
      </w:pP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  <w:r>
        <w:rPr>
          <w:b/>
          <w:bCs/>
          <w:color w:val="000000" w:themeColor="text1"/>
          <w:sz w:val="27"/>
          <w:szCs w:val="27"/>
          <w:highlight w:val="none"/>
          <w:lang w:val="uk-UA" w:eastAsia="ru-RU"/>
        </w:rPr>
      </w:r>
    </w:p>
    <w:p>
      <w:pPr>
        <w:spacing w:lineRule="auto" w:line="240" w:after="0" w:afterAutospacing="0"/>
        <w:rPr>
          <w:b/>
          <w:color w:val="000000" w:themeColor="text1"/>
          <w:sz w:val="27"/>
          <w:szCs w:val="27"/>
          <w:highlight w:val="none"/>
          <w:lang w:val="uk-UA" w:eastAsia="ru-RU"/>
        </w:rPr>
      </w:pPr>
      <w:r>
        <w:rPr>
          <w:b w:val="false"/>
          <w:bCs/>
          <w:color w:val="000000" w:themeColor="text1"/>
          <w:sz w:val="28"/>
          <w:szCs w:val="27"/>
          <w:lang w:val="uk-UA" w:eastAsia="ru-RU"/>
        </w:rPr>
        <w:t xml:space="preserve">Начальник Відділу освіти</w:t>
        <w:tab/>
        <w:tab/>
        <w:tab/>
        <w:tab/>
        <w:tab/>
        <w:t xml:space="preserve">Ірина ЛУК’ЯНЕНКО</w:t>
      </w:r>
      <w:r>
        <w:rPr>
          <w:b/>
          <w:bCs/>
          <w:color w:val="000000" w:themeColor="text1"/>
          <w:sz w:val="27"/>
          <w:szCs w:val="27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color w:val="000000"/>
          <w:sz w:val="28"/>
          <w:szCs w:val="28"/>
          <w:lang w:val="uk-UA" w:eastAsia="ru-RU"/>
        </w:rPr>
        <w:outlineLvl w:val="1"/>
      </w:pPr>
      <w:r>
        <w:rPr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 – 2024рр.)</w:t>
      </w:r>
      <w:r/>
    </w:p>
    <w:tbl>
      <w:tblPr>
        <w:tblStyle w:val="607"/>
        <w:tblW w:w="9994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638"/>
        <w:gridCol w:w="5386"/>
        <w:gridCol w:w="1323"/>
        <w:gridCol w:w="1323"/>
        <w:gridCol w:w="1324"/>
      </w:tblGrid>
      <w:tr>
        <w:trPr>
          <w:trHeight w:val="3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 всього (грн.)</w:t>
            </w:r>
            <w:r/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2022р.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2023р.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2024р.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3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роботи та зміцнення матеріальної бази гуртків закладів позашкільної освіти, підтримки творчих дитячих колективів закладів позашкільної освіти: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26000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31000</w:t>
            </w:r>
            <w:r/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63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 w:eastAsia="ru-RU"/>
              </w:rPr>
              <w:outlineLvl w:val="1"/>
            </w:pPr>
            <w:r>
              <w:rPr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матеріалів, інвентаря, витратних матеріалів для проведення роботи гуртків, функціонування творчих дитячих колективів  тощо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  <w:outlineLvl w:val="1"/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придбання  паливно-мастильних матеріалів для участі у змаганнях з картингів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участі вихованців СЮТ в обласних, Всеукраїнських конкурсах, змаганнях.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7000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Вшанування переможців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спортивних змагань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189500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189500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213235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 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одноразові заохочувальні премії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(вихованцям та керівникам гуртків ЦДЮТ та СЮТ)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105908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107500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116620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одноразові заохочувальні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премії (вихованцям та керівникам спортивних секцій ДЮСШ)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45011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  <w:outlineLvl w:val="1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кошти на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одноразові заохочувальні</w:t>
            </w:r>
            <w:r>
              <w:rPr>
                <w:rFonts w:eastAsia="Calibri"/>
                <w:i/>
                <w:color w:val="000000" w:themeColor="text1"/>
                <w:sz w:val="28"/>
                <w:szCs w:val="28"/>
                <w:lang w:val="uk-UA"/>
              </w:rPr>
              <w:t xml:space="preserve"> премії (вихованцям та керівникам Музичної дитячої школи)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outlineLvl w:val="1"/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43592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outlineLvl w:val="1"/>
            </w:pPr>
            <w:r>
              <w:rPr>
                <w:sz w:val="24"/>
                <w:szCs w:val="24"/>
                <w:lang w:val="uk-UA" w:eastAsia="ru-RU"/>
              </w:rPr>
              <w:t xml:space="preserve">42000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51604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грамот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дипломів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для переможців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1400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ридбання квітів для нагородження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(проведення свята «Зірковий олімп. Позашкілля»)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 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13030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Забезпечення підвозу вихованців для участі  у проведенні свя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та «Зірковий олімп. Позашкілля»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(для паливно-мастильних матеріалів)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, оплати транспортних послуг за підвезення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10000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12000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/>
              </w:rPr>
              <w:outlineLvl w:val="1"/>
            </w:pPr>
            <w:r>
              <w:rPr>
                <w:sz w:val="24"/>
                <w:szCs w:val="24"/>
                <w:lang w:val="uk-UA"/>
              </w:rPr>
              <w:t xml:space="preserve">15000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b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  <w:outlineLvl w:val="1"/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 237570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245570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outlineLvl w:val="1"/>
            </w:pPr>
            <w:r>
              <w:rPr>
                <w:b/>
                <w:sz w:val="24"/>
                <w:szCs w:val="24"/>
                <w:lang w:val="uk-UA"/>
              </w:rPr>
              <w:t xml:space="preserve">280665</w:t>
            </w:r>
            <w:r/>
          </w:p>
        </w:tc>
      </w:tr>
    </w:tbl>
    <w:p>
      <w:pPr>
        <w:jc w:val="center"/>
        <w:spacing w:lineRule="auto" w:line="240" w:after="60"/>
        <w:rPr>
          <w:color w:val="000000"/>
          <w:sz w:val="28"/>
          <w:szCs w:val="28"/>
          <w:lang w:val="uk-UA" w:eastAsia="ru-RU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  <w:titlePg/>
        </w:sectPr>
        <w:outlineLvl w:val="1"/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/>
    </w:p>
    <w:p>
      <w:pPr>
        <w:jc w:val="center"/>
        <w:spacing w:lineRule="auto" w:line="240" w:after="0"/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Музична школа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, ЦДЮТ, СЮТ</w:t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635"/>
        <w:gridCol w:w="1567"/>
        <w:gridCol w:w="814"/>
        <w:gridCol w:w="900"/>
        <w:gridCol w:w="893"/>
        <w:gridCol w:w="893"/>
        <w:gridCol w:w="805"/>
        <w:gridCol w:w="893"/>
        <w:gridCol w:w="893"/>
        <w:gridCol w:w="893"/>
        <w:gridCol w:w="697"/>
        <w:gridCol w:w="893"/>
        <w:gridCol w:w="893"/>
        <w:gridCol w:w="893"/>
      </w:tblGrid>
      <w:tr>
        <w:trPr>
          <w:trHeight w:val="131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r/>
          </w:p>
        </w:tc>
        <w:tc>
          <w:tcPr>
            <w:tcW w:w="156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Предмет  фінансування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 xml:space="preserve"> Рівень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</w:t>
            </w:r>
            <w:r/>
          </w:p>
        </w:tc>
        <w:tc>
          <w:tcPr>
            <w:gridSpan w:val="4"/>
            <w:tcBorders>
              <w:right w:val="single" w:sz="4" w:space="0" w:color="auto"/>
              <w:bottom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2023</w:t>
            </w:r>
            <w:r/>
          </w:p>
        </w:tc>
        <w:tc>
          <w:tcPr>
            <w:gridSpan w:val="4"/>
            <w:tcBorders>
              <w:left w:val="single" w:sz="4" w:space="0" w:color="auto"/>
              <w:bottom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2024</w:t>
            </w:r>
            <w:r/>
          </w:p>
        </w:tc>
      </w:tr>
      <w:tr>
        <w:trPr>
          <w:trHeight w:val="76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Гран-прі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</w:tr>
      <w:tr>
        <w:trPr>
          <w:trHeight w:val="230"/>
        </w:trPr>
        <w:tc>
          <w:tcPr>
            <w:tcW w:w="163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4"/>
            <w:tcBorders>
              <w:top w:val="single" w:sz="4" w:space="0" w:color="auto"/>
              <w:right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</w:t>
            </w:r>
            <w:r>
              <w:rPr>
                <w:b/>
                <w:sz w:val="20"/>
                <w:szCs w:val="20"/>
                <w:lang w:val="uk-UA"/>
              </w:rPr>
              <w:t xml:space="preserve">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</w:tr>
      <w:tr>
        <w:trPr>
          <w:trHeight w:val="1698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«Зірковий олімп. Позашкілля») і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ндивідуальні премії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Borders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tcBorders>
              <w:bottom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</w:tr>
      <w:tr>
        <w:trPr>
          <w:trHeight w:val="2196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</w:tr>
      <w:tr>
        <w:trPr>
          <w:trHeight w:val="1333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переможцям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обласних, Всеукраїнських, міжнародних конкурсів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  (проведення свята «Зірковий олімп. Позашкілля»)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премії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на колективи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 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/>
          </w:p>
        </w:tc>
        <w:tc>
          <w:tcPr>
            <w:tcBorders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bottom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</w:tr>
      <w:tr>
        <w:trPr>
          <w:trHeight w:val="189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top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top w:val="single" w:sz="4" w:space="0" w:color="auto"/>
            </w:tcBorders>
            <w:tcW w:w="805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top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550</w:t>
            </w:r>
            <w:r/>
          </w:p>
        </w:tc>
        <w:tc>
          <w:tcPr>
            <w:tcBorders>
              <w:lef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700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650</w:t>
            </w:r>
            <w:r/>
          </w:p>
        </w:tc>
        <w:tc>
          <w:tcPr>
            <w:tcBorders>
              <w:left w:val="single" w:sz="4" w:space="0" w:color="auto"/>
            </w:tcBorders>
            <w:tcW w:w="8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</w:tr>
    </w:tbl>
    <w:p>
      <w:r/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Орієнтовне фінансування забезпечення Програми (2022-2024 рр.)  </w:t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  <w:lang w:val="uk-UA" w:eastAsia="ru-RU"/>
        </w:rPr>
        <w:outlineLvl w:val="1"/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ДЮСШ</w:t>
      </w:r>
      <w:r/>
    </w:p>
    <w:p>
      <w:pPr>
        <w:rPr>
          <w:lang w:val="uk-UA"/>
        </w:rPr>
      </w:pPr>
      <w:r>
        <w:rPr>
          <w:lang w:val="uk-UA"/>
        </w:rPr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635"/>
        <w:gridCol w:w="1567"/>
        <w:gridCol w:w="1188"/>
        <w:gridCol w:w="1134"/>
        <w:gridCol w:w="1178"/>
        <w:gridCol w:w="1090"/>
        <w:gridCol w:w="1275"/>
        <w:gridCol w:w="1119"/>
        <w:gridCol w:w="1149"/>
        <w:gridCol w:w="1134"/>
        <w:gridCol w:w="1093"/>
      </w:tblGrid>
      <w:tr>
        <w:trPr>
          <w:trHeight w:val="131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r/>
          </w:p>
        </w:tc>
        <w:tc>
          <w:tcPr>
            <w:tcW w:w="156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Предмет  фінансування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Рівень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</w:t>
            </w:r>
            <w:r/>
          </w:p>
        </w:tc>
        <w:tc>
          <w:tcPr>
            <w:gridSpan w:val="3"/>
            <w:tcBorders>
              <w:right w:val="single" w:sz="4" w:space="0" w:color="auto"/>
              <w:bottom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2023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2024</w:t>
            </w:r>
            <w:r/>
          </w:p>
        </w:tc>
      </w:tr>
      <w:tr>
        <w:trPr>
          <w:trHeight w:val="761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jc w:val="center"/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 ступеня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jc w:val="center"/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 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 ІІ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ІІІ</w:t>
            </w:r>
            <w:r/>
          </w:p>
          <w:p>
            <w:pPr>
              <w:spacing w:lineRule="auto" w:line="240" w:after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/>
              </w:rPr>
              <w:t xml:space="preserve">ступеня</w:t>
            </w:r>
            <w:r/>
          </w:p>
        </w:tc>
      </w:tr>
      <w:tr>
        <w:trPr>
          <w:trHeight w:val="441"/>
        </w:trPr>
        <w:tc>
          <w:tcPr>
            <w:tcW w:w="163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gridSpan w:val="3"/>
            <w:tcBorders>
              <w:top w:val="single" w:sz="4" w:space="0" w:color="auto"/>
            </w:tcBorders>
            <w:tcW w:w="35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</w:t>
            </w:r>
            <w:r>
              <w:rPr>
                <w:b/>
                <w:sz w:val="20"/>
                <w:szCs w:val="20"/>
                <w:lang w:val="uk-UA"/>
              </w:rPr>
              <w:t xml:space="preserve">о</w:t>
            </w:r>
            <w:r>
              <w:rPr>
                <w:b/>
                <w:sz w:val="20"/>
                <w:szCs w:val="20"/>
                <w:lang w:val="uk-UA"/>
              </w:rPr>
              <w:t xml:space="preserve">м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</w:t>
            </w:r>
            <w:r>
              <w:rPr>
                <w:b/>
                <w:sz w:val="20"/>
                <w:szCs w:val="20"/>
                <w:lang w:val="uk-UA"/>
              </w:rPr>
              <w:t xml:space="preserve">,  грн</w:t>
            </w:r>
            <w:r/>
          </w:p>
        </w:tc>
        <w:tc>
          <w:tcPr>
            <w:gridSpan w:val="3"/>
            <w:tcBorders>
              <w:top w:val="single" w:sz="4" w:space="0" w:color="auto"/>
              <w:right w:val="single" w:sz="4" w:space="0" w:color="auto"/>
            </w:tcBorders>
            <w:tcW w:w="3484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диплом</w:t>
            </w:r>
            <w:r/>
          </w:p>
          <w:p>
            <w:pPr>
              <w:spacing w:lineRule="auto" w:line="240" w:after="0"/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оподаткування),  грн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</w:tcBorders>
            <w:tcW w:w="337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Сума за один диплом</w:t>
            </w:r>
            <w:r/>
          </w:p>
          <w:p>
            <w:pPr>
              <w:spacing w:lineRule="auto" w:line="240" w:after="0"/>
            </w:pPr>
            <w:r>
              <w:rPr>
                <w:b/>
                <w:sz w:val="20"/>
                <w:szCs w:val="20"/>
                <w:lang w:val="uk-UA"/>
              </w:rPr>
              <w:t xml:space="preserve">(без оподаткування),  грн</w:t>
            </w:r>
            <w:r/>
          </w:p>
        </w:tc>
      </w:tr>
      <w:tr>
        <w:trPr>
          <w:trHeight w:val="1223"/>
        </w:trPr>
        <w:tc>
          <w:tcPr>
            <w:tcW w:w="16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Вшанування переможців обласних, Всеукраїнських, міжнародних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змагань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 (проведення свята «Зірковий олімп. Позашкілля») Індивідуальні премії</w:t>
            </w:r>
            <w:r/>
          </w:p>
        </w:tc>
        <w:tc>
          <w:tcPr>
            <w:tcBorders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Обласний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етап</w:t>
            </w:r>
            <w:r/>
          </w:p>
        </w:tc>
        <w:tc>
          <w:tcPr>
            <w:tcBorders>
              <w:bottom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bottom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bottom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450</w:t>
            </w:r>
            <w:r/>
          </w:p>
        </w:tc>
        <w:tc>
          <w:tcPr>
            <w:tcBorders>
              <w:lef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350</w:t>
            </w:r>
            <w:r/>
          </w:p>
        </w:tc>
        <w:tc>
          <w:tcPr>
            <w:tcBorders>
              <w:left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250</w:t>
            </w:r>
            <w:r/>
          </w:p>
        </w:tc>
      </w:tr>
      <w:tr>
        <w:trPr>
          <w:trHeight w:val="1510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Всеукраїнський</w:t>
            </w:r>
            <w:r/>
          </w:p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міжнародний  етапи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400</w:t>
            </w:r>
            <w:r/>
          </w:p>
        </w:tc>
      </w:tr>
      <w:tr>
        <w:trPr>
          <w:trHeight w:val="1225"/>
        </w:trPr>
        <w:tc>
          <w:tcPr>
            <w:tcW w:w="16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0"/>
                <w:szCs w:val="2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Чемпіонат України</w:t>
            </w:r>
            <w:r/>
          </w:p>
        </w:tc>
        <w:tc>
          <w:tcPr>
            <w:tcBorders>
              <w:top w:val="single" w:sz="4" w:space="0" w:color="auto"/>
            </w:tcBorders>
            <w:tcW w:w="11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1150</w:t>
            </w:r>
            <w:r/>
          </w:p>
        </w:tc>
        <w:tc>
          <w:tcPr>
            <w:tcBorders>
              <w:top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800</w:t>
            </w:r>
            <w:r/>
          </w:p>
        </w:tc>
        <w:tc>
          <w:tcPr>
            <w:tcBorders>
              <w:top w:val="single" w:sz="4" w:space="0" w:color="auto"/>
            </w:tcBorders>
            <w:tcW w:w="1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1150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800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4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093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1000</w:t>
            </w:r>
            <w:r/>
          </w:p>
        </w:tc>
      </w:tr>
    </w:tbl>
    <w:p>
      <w:r/>
      <w:r/>
    </w:p>
    <w:p>
      <w:pPr>
        <w:jc w:val="center"/>
        <w:spacing w:lineRule="auto" w:line="240" w:after="60"/>
        <w:outlineLvl w:val="1"/>
      </w:pPr>
      <w:r/>
      <w:r/>
    </w:p>
    <w:sectPr>
      <w:footnotePr/>
      <w:endnotePr/>
      <w:type w:val="nextPage"/>
      <w:pgSz w:w="15840" w:h="12240" w:orient="landscape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  <w:t xml:space="preserve">                                   продовження додатка</w:t>
    </w:r>
    <w:r>
      <w:rPr>
        <w:i/>
        <w:sz w:val="24"/>
      </w:rPr>
    </w:r>
  </w:p>
  <w:p>
    <w:pPr>
      <w:pStyle w:val="61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3"/>
    <w:link w:val="612"/>
    <w:uiPriority w:val="99"/>
  </w:style>
  <w:style w:type="character" w:styleId="43">
    <w:name w:val="Footer Char"/>
    <w:basedOn w:val="603"/>
    <w:link w:val="614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4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table" w:styleId="607">
    <w:name w:val="Table Grid"/>
    <w:basedOn w:val="604"/>
    <w:uiPriority w:val="59"/>
    <w:rPr>
      <w:rFonts w:ascii="Times New Roman" w:hAnsi="Times New Roman" w:cs="Times New Roman" w:eastAsia="Times New Roman"/>
      <w:lang w:val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8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character" w:styleId="609">
    <w:name w:val="Strong"/>
    <w:basedOn w:val="603"/>
    <w:qFormat/>
    <w:uiPriority w:val="22"/>
    <w:rPr>
      <w:b/>
      <w:bCs/>
    </w:rPr>
  </w:style>
  <w:style w:type="paragraph" w:styleId="610">
    <w:name w:val="Balloon Text"/>
    <w:basedOn w:val="602"/>
    <w:link w:val="6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1" w:customStyle="1">
    <w:name w:val="Текст у виносці Знак"/>
    <w:basedOn w:val="603"/>
    <w:link w:val="610"/>
    <w:uiPriority w:val="99"/>
    <w:semiHidden/>
    <w:rPr>
      <w:rFonts w:ascii="Segoe UI" w:hAnsi="Segoe UI" w:cs="Segoe UI" w:eastAsia="Times New Roman"/>
      <w:sz w:val="18"/>
      <w:szCs w:val="18"/>
      <w:lang w:val="ru-RU"/>
    </w:rPr>
  </w:style>
  <w:style w:type="paragraph" w:styleId="612">
    <w:name w:val="Header"/>
    <w:basedOn w:val="602"/>
    <w:link w:val="613"/>
    <w:uiPriority w:val="99"/>
    <w:unhideWhenUsed/>
    <w:pPr>
      <w:spacing w:lineRule="auto" w:line="240" w:after="0"/>
      <w:tabs>
        <w:tab w:val="center" w:pos="4986" w:leader="none"/>
        <w:tab w:val="right" w:pos="9973" w:leader="none"/>
      </w:tabs>
    </w:pPr>
  </w:style>
  <w:style w:type="character" w:styleId="613" w:customStyle="1">
    <w:name w:val="Верхній колонтитул Знак"/>
    <w:basedOn w:val="603"/>
    <w:link w:val="612"/>
    <w:uiPriority w:val="99"/>
    <w:rPr>
      <w:rFonts w:ascii="Times New Roman" w:hAnsi="Times New Roman" w:cs="Times New Roman" w:eastAsia="Times New Roman"/>
      <w:lang w:val="ru-RU"/>
    </w:rPr>
  </w:style>
  <w:style w:type="paragraph" w:styleId="614">
    <w:name w:val="Footer"/>
    <w:basedOn w:val="602"/>
    <w:link w:val="615"/>
    <w:uiPriority w:val="99"/>
    <w:unhideWhenUsed/>
    <w:pPr>
      <w:spacing w:lineRule="auto" w:line="240" w:after="0"/>
      <w:tabs>
        <w:tab w:val="center" w:pos="4986" w:leader="none"/>
        <w:tab w:val="right" w:pos="9973" w:leader="none"/>
      </w:tabs>
    </w:pPr>
  </w:style>
  <w:style w:type="character" w:styleId="615" w:customStyle="1">
    <w:name w:val="Нижній колонтитул Знак"/>
    <w:basedOn w:val="603"/>
    <w:link w:val="614"/>
    <w:uiPriority w:val="99"/>
    <w:rPr>
      <w:rFonts w:ascii="Times New Roman" w:hAnsi="Times New Roman" w:cs="Times New Roman" w:eastAsia="Times New Roman"/>
      <w:lang w:val="ru-RU"/>
    </w:rPr>
  </w:style>
  <w:style w:type="character" w:styleId="616">
    <w:name w:val="Hyperlink"/>
    <w:basedOn w:val="603"/>
    <w:uiPriority w:val="99"/>
    <w:semiHidden/>
    <w:unhideWhenUsed/>
    <w:rPr>
      <w:color w:val="0000FF"/>
      <w:u w:val="single"/>
    </w:rPr>
  </w:style>
  <w:style w:type="paragraph" w:styleId="617" w:customStyle="1">
    <w:name w:val="Абзац списку1"/>
    <w:basedOn w:val="602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  <w:style w:type="character" w:styleId="618" w:customStyle="1">
    <w:name w:val="rvts9"/>
    <w:basedOn w:val="6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13</cp:revision>
  <dcterms:created xsi:type="dcterms:W3CDTF">2021-12-07T08:22:00Z</dcterms:created>
  <dcterms:modified xsi:type="dcterms:W3CDTF">2021-12-13T07:25:50Z</dcterms:modified>
</cp:coreProperties>
</file>