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spacing w:before="142" w:beforeAutospacing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34340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color w:val="000000" w:themeColor="text1"/>
          <w:sz w:val="28"/>
        </w:rPr>
      </w:r>
    </w:p>
    <w:p>
      <w:pPr>
        <w:pStyle w:val="868"/>
        <w:jc w:val="center"/>
        <w:spacing w:before="142" w:beforeAutospacing="0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color w:val="000000" w:themeColor="text1"/>
          <w:sz w:val="28"/>
        </w:rPr>
      </w:r>
    </w:p>
    <w:p>
      <w:pPr>
        <w:pStyle w:val="868"/>
        <w:jc w:val="center"/>
        <w:spacing w:before="142" w:beforeAutospacing="0"/>
        <w:rPr>
          <w:rFonts w:ascii="Times New Roman" w:hAnsi="Times New Roman" w:cs="Times New Roman" w:eastAsia="Times New Roman"/>
          <w:b/>
          <w:color w:val="000000" w:themeColor="text1"/>
          <w:sz w:val="28"/>
        </w:rPr>
      </w:pPr>
      <w:r>
        <w:rPr>
          <w:color w:val="000000" w:themeColor="text1"/>
          <w:sz w:val="28"/>
        </w:rPr>
      </w:r>
      <w:bookmarkStart w:id="0" w:name="_Hlk82170484"/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(п’ятнадцята сесія восьмого скликання) </w:t>
      </w:r>
      <w:bookmarkEnd w:id="0"/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jc w:val="center"/>
        <w:spacing w:lineRule="auto" w:line="240" w:after="0" w:before="142" w:beforeAutospacing="0"/>
        <w:widowControl w:val="off"/>
        <w:rPr>
          <w:rFonts w:ascii="Times New Roman" w:hAnsi="Times New Roman" w:cs="Times New Roman" w:eastAsia="Lucida Sans Unicode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 w:eastAsia="Lucida Sans Unicode"/>
          <w:b/>
          <w:color w:val="000000" w:themeColor="text1"/>
          <w:sz w:val="28"/>
          <w:szCs w:val="28"/>
          <w:lang w:bidi="hi-IN" w:eastAsia="hi-IN"/>
        </w:rPr>
        <w:t xml:space="preserve">РІШЕННЯ</w:t>
      </w:r>
      <w:r>
        <w:rPr>
          <w:color w:val="000000" w:themeColor="text1"/>
          <w:sz w:val="28"/>
        </w:rPr>
      </w:r>
    </w:p>
    <w:p>
      <w:pPr>
        <w:spacing w:lineRule="auto" w:line="240" w:after="0" w:before="142" w:beforeAutospacing="0"/>
        <w:widowControl w:val="off"/>
        <w:tabs>
          <w:tab w:val="left" w:pos="4536" w:leader="none"/>
          <w:tab w:val="left" w:pos="7370" w:leader="none"/>
        </w:tabs>
        <w:rPr>
          <w:rFonts w:ascii="Times New Roman" w:hAnsi="Times New Roman" w:cs="Times New Roman" w:eastAsia="Lucida Sans Unicode"/>
          <w:color w:val="000000" w:themeColor="text1"/>
          <w:sz w:val="28"/>
          <w:szCs w:val="28"/>
        </w:rPr>
      </w:pPr>
      <w:r>
        <w:rPr>
          <w:rFonts w:ascii="Times New Roman" w:hAnsi="Times New Roman" w:cs="Times New Roman" w:eastAsia="Lucida Sans Unicode"/>
          <w:color w:val="000000" w:themeColor="text1"/>
          <w:sz w:val="28"/>
          <w:szCs w:val="28"/>
          <w:lang w:bidi="hi-IN" w:eastAsia="hi-IN"/>
        </w:rPr>
        <w:t xml:space="preserve">09 грудня 2021 року</w:t>
        <w:tab/>
        <w:t xml:space="preserve">м. Мена</w:t>
        <w:tab/>
      </w:r>
      <w:r>
        <w:rPr>
          <w:rFonts w:ascii="Times New Roman" w:hAnsi="Times New Roman" w:cs="Times New Roman" w:eastAsia="Lucida Sans Unicode"/>
          <w:color w:val="000000" w:themeColor="text1"/>
          <w:sz w:val="28"/>
          <w:szCs w:val="28"/>
          <w:lang w:bidi="hi-IN" w:eastAsia="hi-IN"/>
        </w:rPr>
        <w:t xml:space="preserve">№ </w:t>
      </w:r>
      <w:r>
        <w:rPr>
          <w:rFonts w:ascii="Times New Roman" w:hAnsi="Times New Roman" w:cs="Times New Roman" w:eastAsia="Lucida Sans Unicode"/>
          <w:color w:val="000000" w:themeColor="text1"/>
          <w:sz w:val="28"/>
          <w:szCs w:val="28"/>
          <w:lang w:bidi="hi-IN" w:eastAsia="hi-IN"/>
        </w:rPr>
        <w:t xml:space="preserve">849</w:t>
      </w:r>
      <w:r>
        <w:rPr>
          <w:color w:val="000000" w:themeColor="text1"/>
          <w:sz w:val="28"/>
        </w:rPr>
      </w:r>
    </w:p>
    <w:p>
      <w:pPr>
        <w:spacing w:lineRule="auto" w:line="240" w:after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863"/>
        <w:ind w:left="0" w:right="5862" w:firstLine="0"/>
        <w:tabs>
          <w:tab w:val="left" w:pos="3686" w:leader="none"/>
        </w:tabs>
        <w:rPr>
          <w:bCs/>
          <w:iCs/>
          <w:color w:val="000000" w:themeColor="text1"/>
        </w:rPr>
      </w:pPr>
      <w:r>
        <w:rPr>
          <w:color w:val="000000" w:themeColor="text1"/>
          <w:sz w:val="28"/>
        </w:rPr>
        <w:t xml:space="preserve">Про порядок </w:t>
      </w:r>
      <w:r>
        <w:rPr>
          <w:bCs/>
          <w:iCs/>
          <w:color w:val="000000" w:themeColor="text1"/>
          <w:sz w:val="28"/>
          <w:lang w:eastAsia="uk-UA"/>
        </w:rPr>
        <w:t xml:space="preserve">організації </w:t>
      </w:r>
      <w:r>
        <w:rPr>
          <w:bCs/>
          <w:iCs/>
          <w:color w:val="000000" w:themeColor="text1"/>
          <w:lang w:eastAsia="uk-UA"/>
        </w:rPr>
        <w:t xml:space="preserve">харчування учнів у закладах загальної середньої освіти Менської міської ради на 2022 рік </w:t>
      </w:r>
      <w:r>
        <w:rPr>
          <w:color w:val="000000" w:themeColor="text1"/>
        </w:rPr>
      </w:r>
    </w:p>
    <w:p>
      <w:pPr>
        <w:spacing w:lineRule="auto" w:line="240"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bidi="en-US"/>
        </w:rPr>
      </w:r>
      <w:r>
        <w:rPr>
          <w:color w:val="000000" w:themeColor="text1"/>
        </w:rPr>
      </w:r>
    </w:p>
    <w:p>
      <w:pPr>
        <w:pStyle w:val="871"/>
        <w:ind w:right="-141" w:firstLine="567"/>
        <w:jc w:val="both"/>
        <w:shd w:val="clear" w:fill="FFFFFF" w:color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 w:eastAsia="Batang"/>
          <w:color w:val="000000" w:themeColor="text1"/>
          <w:sz w:val="28"/>
          <w:szCs w:val="28"/>
          <w:lang w:eastAsia="ru-RU"/>
        </w:rPr>
        <w:t xml:space="preserve">Відповідно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 w:eastAsia="Batang"/>
          <w:color w:val="000000" w:themeColor="text1"/>
          <w:sz w:val="28"/>
          <w:szCs w:val="28"/>
          <w:lang w:eastAsia="ru-RU"/>
        </w:rPr>
        <w:t xml:space="preserve">вимог Законів України «Про освіту», «Про повну загальну середню освіту», «Про охорону д</w:t>
      </w:r>
      <w:r>
        <w:rPr>
          <w:rFonts w:ascii="Times New Roman" w:hAnsi="Times New Roman" w:cs="Times New Roman" w:eastAsia="Batang"/>
          <w:color w:val="000000" w:themeColor="text1"/>
          <w:sz w:val="28"/>
          <w:szCs w:val="28"/>
          <w:lang w:eastAsia="ru-RU"/>
        </w:rPr>
        <w:t xml:space="preserve">итинства»,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fill="FFFFFF" w:color="auto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fill="FFFFFF" w:color="auto"/>
        </w:rPr>
        <w:t xml:space="preserve"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 w:eastAsia="Batang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статус і соціальний захист громадян, які постраждали внаслідок Чорнобильської катастрофи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 w:eastAsia="Batang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статус ветеранів війни, гарантії їх соціального захисту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«Про внесення змін до деяких Законів України щодо забезпечення безкоштовним хар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чуванням дітей внутрішньо переміщених осіб» від 16.01.2020 №474-ІX, «Про внесення змін до 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«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 №305 «Про затвердження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» (зі змінами) та керуючись рішеннями дванадцятої сесії 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Менської міської ради 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восьмог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о скликання від 26.10.2021 року 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 №597 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«Про переведення закладів загальної середньої, дошкільної, позашкільної освіти, Степанівського міжшкільного навчально-виробничого комбінату та Комунальної установи «Менський інклюзивно-ресурсний це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нтр» Менської міської ради Чернігівської області на умови самостійного ведення господарської діяльності та бухгалтерського обліку», №596 «Про створення Комунальної установи «Центр з обслуговування освітніх установ та закладів освіти Менської міської ради»,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виконання рішення 15 сесії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 міської ради 8 скликання від 09 грудня 2021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Про затвердження Програми організації харчування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учнів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у закладах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загальної середньої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освіти Менської міської ради на 2022-2024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ст.26 Закону України «Про місцеве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самоврядування в Україні»</w:t>
      </w: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Batang"/>
          <w:color w:val="000000" w:themeColor="text1"/>
          <w:sz w:val="28"/>
          <w:szCs w:val="28"/>
          <w:shd w:val="clear" w:fill="FFFFFF" w:color="auto"/>
          <w:lang w:eastAsia="ru-RU"/>
        </w:rPr>
        <w:t xml:space="preserve">з метою збереження здоров’я дітей та забезпечення повноцінного і раціонального харчування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Менська  міська  рада</w:t>
      </w:r>
      <w:r>
        <w:rPr>
          <w:color w:val="000000" w:themeColor="text1"/>
        </w:rPr>
      </w:r>
    </w:p>
    <w:p>
      <w:pPr>
        <w:ind w:right="-4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b w:val="false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false"/>
          <w:bCs/>
          <w:iCs/>
          <w:color w:val="000000" w:themeColor="text1"/>
          <w:sz w:val="28"/>
          <w:szCs w:val="28"/>
        </w:rPr>
        <w:t xml:space="preserve">ВИРІШИЛА:</w:t>
      </w:r>
      <w:r>
        <w:rPr>
          <w:b w:val="false"/>
          <w:color w:val="000000" w:themeColor="text1"/>
        </w:rPr>
      </w:r>
      <w:r>
        <w:rPr>
          <w:color w:val="000000" w:themeColor="text1"/>
        </w:rPr>
      </w:r>
    </w:p>
    <w:p>
      <w:pPr>
        <w:pStyle w:val="868"/>
        <w:numPr>
          <w:ilvl w:val="0"/>
          <w:numId w:val="5"/>
        </w:num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01 січня 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вартість харчування одного учня в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закладах загальної середньої освіти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для учнів 1-4 класів та учнів пільгових категорій 1- 11 класів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рахунок коштів місцевого бюджету)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</w:p>
    <w:p>
      <w:pPr>
        <w:pStyle w:val="868"/>
        <w:numPr>
          <w:ilvl w:val="0"/>
          <w:numId w:val="5"/>
        </w:num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езоплатним гарячим харчуванням за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хунок коштів місцевого бюджету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закладу загальної середньої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числа: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учнів 1-4 класів;</w:t>
      </w:r>
      <w:r>
        <w:rPr>
          <w:color w:val="000000" w:themeColor="text1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дітей-сиріт;</w:t>
      </w:r>
      <w:r>
        <w:rPr>
          <w:color w:val="000000" w:themeColor="text1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дітей, позбавлених батьківського піклування;</w:t>
      </w:r>
      <w:r>
        <w:rPr>
          <w:color w:val="000000" w:themeColor="text1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дітей з особливими освітніми потребами, які навчаються у спеціальних та інклюзивних класах (групах);</w:t>
      </w:r>
      <w:r>
        <w:rPr>
          <w:color w:val="000000" w:themeColor="text1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дітей із сімей, які отримують допомогу відповідно до </w:t>
      </w:r>
      <w:hyperlink r:id="rId15" w:tooltip="https://zakon.rada.gov.ua/laws/show/1768-14" w:history="1">
        <w:r>
          <w:rPr>
            <w:color w:val="000000" w:themeColor="text1"/>
            <w:sz w:val="28"/>
            <w:szCs w:val="28"/>
            <w:lang w:val="uk-UA"/>
          </w:rPr>
          <w:t xml:space="preserve">Закону України</w:t>
        </w:r>
      </w:hyperlink>
      <w:r>
        <w:rPr>
          <w:color w:val="000000" w:themeColor="text1"/>
          <w:sz w:val="28"/>
          <w:szCs w:val="28"/>
          <w:lang w:val="uk-UA"/>
        </w:rPr>
        <w:t xml:space="preserve"> «Про державну соціальну допомогу малозабезпеченим сім’ям»;</w:t>
      </w:r>
      <w:r>
        <w:rPr>
          <w:color w:val="000000" w:themeColor="text1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учнів закладів освіти, розташованих на територіях радіоактивного забруднення, а</w:t>
      </w:r>
      <w:r>
        <w:rPr>
          <w:color w:val="000000" w:themeColor="text1"/>
          <w:sz w:val="28"/>
          <w:szCs w:val="28"/>
          <w:lang w:val="uk-UA"/>
        </w:rPr>
        <w:t xml:space="preserve">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6" w:tooltip="https://zakon.rada.gov.ua/laws/show/796-12" w:history="1">
        <w:r>
          <w:rPr>
            <w:color w:val="000000" w:themeColor="text1"/>
            <w:sz w:val="28"/>
            <w:szCs w:val="28"/>
            <w:lang w:val="uk-UA"/>
          </w:rPr>
          <w:t xml:space="preserve">Закону України</w:t>
        </w:r>
      </w:hyperlink>
      <w:r>
        <w:rPr>
          <w:color w:val="000000" w:themeColor="text1"/>
          <w:sz w:val="28"/>
          <w:szCs w:val="28"/>
          <w:lang w:val="uk-UA"/>
        </w:rPr>
        <w:t xml:space="preserve"> «Про статус і соціальний захист громадян, які постраждали внаслідок Чорнобильської катастрофи»;</w:t>
      </w:r>
      <w:r>
        <w:rPr>
          <w:color w:val="000000" w:themeColor="text1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color w:val="000000" w:themeColor="text1"/>
        </w:rPr>
      </w:r>
    </w:p>
    <w:p>
      <w:pPr>
        <w:pStyle w:val="870"/>
        <w:numPr>
          <w:ilvl w:val="0"/>
          <w:numId w:val="2"/>
        </w:numPr>
        <w:ind w:left="0" w:right="0" w:firstLine="360"/>
        <w:jc w:val="both"/>
        <w:spacing w:after="0" w:afterAutospacing="0" w:before="0" w:beforeAutospacing="0"/>
        <w:shd w:val="clear" w:fill="FFFFFF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дітей з числа осіб, визначених у</w:t>
      </w:r>
      <w:hyperlink r:id="rId17" w:tooltip="https://zakon.rada.gov.ua/laws/show/3551-12#n147" w:anchor="n147" w:history="1">
        <w:r>
          <w:rPr>
            <w:color w:val="000000" w:themeColor="text1"/>
            <w:sz w:val="28"/>
            <w:szCs w:val="28"/>
            <w:lang w:val="uk-UA"/>
          </w:rPr>
          <w:t xml:space="preserve"> статті 10 </w:t>
        </w:r>
      </w:hyperlink>
      <w:r>
        <w:rPr>
          <w:color w:val="000000" w:themeColor="text1"/>
          <w:sz w:val="28"/>
          <w:szCs w:val="28"/>
          <w:lang w:val="uk-UA"/>
        </w:rPr>
        <w:t xml:space="preserve">Закону України «Про статус</w:t>
      </w:r>
      <w:r>
        <w:rPr>
          <w:color w:val="000000" w:themeColor="text1"/>
          <w:sz w:val="28"/>
          <w:szCs w:val="28"/>
          <w:lang w:val="uk-UA"/>
        </w:rPr>
        <w:t xml:space="preserve"> ветеранів війни, гарантії їх соціального захисту»;</w:t>
      </w:r>
      <w:r>
        <w:rPr>
          <w:color w:val="000000" w:themeColor="text1"/>
        </w:rPr>
      </w:r>
    </w:p>
    <w:p>
      <w:pPr>
        <w:pStyle w:val="874"/>
        <w:numPr>
          <w:ilvl w:val="0"/>
          <w:numId w:val="2"/>
        </w:numPr>
        <w:ind w:left="0" w:right="0" w:firstLine="360"/>
        <w:jc w:val="both"/>
        <w:spacing w:lineRule="auto" w:line="240" w:after="0"/>
        <w:tabs>
          <w:tab w:val="left" w:pos="425" w:leader="none"/>
          <w:tab w:val="left" w:pos="709" w:leader="none"/>
        </w:tabs>
        <w:rPr>
          <w:rFonts w:ascii="Times New Roman" w:hAnsi="Times New Roman" w:eastAsia="Batang"/>
          <w:color w:val="000000" w:themeColor="text1"/>
          <w:sz w:val="28"/>
          <w:szCs w:val="28"/>
        </w:rPr>
      </w:pP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ab/>
        <w:t xml:space="preserve">дітей учасників бойових дій – АТО та ООС;</w:t>
      </w:r>
      <w:r>
        <w:rPr>
          <w:color w:val="000000" w:themeColor="text1"/>
        </w:rPr>
      </w:r>
    </w:p>
    <w:p>
      <w:pPr>
        <w:pStyle w:val="874"/>
        <w:numPr>
          <w:ilvl w:val="0"/>
          <w:numId w:val="2"/>
        </w:numPr>
        <w:ind w:left="0" w:right="0" w:firstLine="360"/>
        <w:jc w:val="both"/>
        <w:spacing w:lineRule="auto" w:line="240" w:after="0"/>
        <w:tabs>
          <w:tab w:val="left" w:pos="425" w:leader="none"/>
          <w:tab w:val="left" w:pos="709" w:leader="none"/>
        </w:tabs>
        <w:rPr>
          <w:rFonts w:ascii="Times New Roman" w:hAnsi="Times New Roman" w:eastAsia="Batang"/>
          <w:color w:val="000000" w:themeColor="text1"/>
          <w:sz w:val="28"/>
          <w:szCs w:val="28"/>
        </w:rPr>
      </w:pP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ab/>
        <w:t xml:space="preserve">дітей, один з батьків яких загинув (пропав безвісти), помер під час захисту незалежності та суверенітету України</w:t>
      </w:r>
      <w:r>
        <w:rPr>
          <w:color w:val="000000" w:themeColor="text1"/>
        </w:rPr>
      </w:r>
    </w:p>
    <w:p>
      <w:pPr>
        <w:pStyle w:val="874"/>
        <w:numPr>
          <w:ilvl w:val="0"/>
          <w:numId w:val="2"/>
        </w:numPr>
        <w:ind w:left="0" w:right="0" w:firstLine="360"/>
        <w:jc w:val="both"/>
        <w:spacing w:lineRule="auto" w:line="240" w:after="0"/>
        <w:tabs>
          <w:tab w:val="left" w:pos="425" w:leader="none"/>
          <w:tab w:val="left" w:pos="709" w:leader="none"/>
        </w:tabs>
        <w:rPr>
          <w:rFonts w:ascii="Times New Roman" w:hAnsi="Times New Roman" w:eastAsia="Batang"/>
          <w:color w:val="000000" w:themeColor="text1"/>
          <w:sz w:val="28"/>
          <w:szCs w:val="28"/>
        </w:rPr>
      </w:pP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ab/>
        <w:t xml:space="preserve">дітей з інвалідністю;</w:t>
      </w:r>
      <w:r>
        <w:rPr>
          <w:color w:val="000000" w:themeColor="text1"/>
        </w:rPr>
      </w:r>
    </w:p>
    <w:p>
      <w:pPr>
        <w:pStyle w:val="874"/>
        <w:numPr>
          <w:ilvl w:val="0"/>
          <w:numId w:val="2"/>
        </w:numPr>
        <w:ind w:left="0" w:right="0" w:firstLine="360"/>
        <w:jc w:val="both"/>
        <w:spacing w:lineRule="auto" w:line="240" w:after="0"/>
        <w:tabs>
          <w:tab w:val="left" w:pos="425" w:leader="none"/>
          <w:tab w:val="left" w:pos="709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Batang"/>
          <w:color w:val="000000" w:themeColor="text1"/>
          <w:sz w:val="28"/>
          <w:szCs w:val="28"/>
          <w:lang w:eastAsia="ru-RU"/>
        </w:rPr>
        <w:tab/>
        <w:t xml:space="preserve"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ради)).</w:t>
      </w:r>
      <w:r>
        <w:rPr>
          <w:color w:val="000000" w:themeColor="text1"/>
        </w:rPr>
      </w:r>
    </w:p>
    <w:p>
      <w:pPr>
        <w:pStyle w:val="868"/>
        <w:numPr>
          <w:ilvl w:val="0"/>
          <w:numId w:val="5"/>
        </w:num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Забезпечити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гарячим харчуванням,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оплатою в розмірі 50% від вартості харчування,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дітей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сімей в яких троє і більше 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</w:r>
    </w:p>
    <w:p>
      <w:pPr>
        <w:pStyle w:val="868"/>
        <w:numPr>
          <w:ilvl w:val="0"/>
          <w:numId w:val="5"/>
        </w:num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Встановити батьківську плату за один день харчування в закладі загальної середньої освіти в сумі 100% від фактичної вартості харчування в день, яка формується на перше число кожного місяця для учнів 5-11 класів (крім учнів пільгових категорій).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</w:r>
    </w:p>
    <w:p>
      <w:pPr>
        <w:pStyle w:val="868"/>
        <w:numPr>
          <w:ilvl w:val="0"/>
          <w:numId w:val="5"/>
        </w:num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Батьки вносять плату за харчування лише за дні відвідування та харчування учня в закладі освіти.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</w:r>
    </w:p>
    <w:p>
      <w:pPr>
        <w:pStyle w:val="868"/>
        <w:numPr>
          <w:ilvl w:val="0"/>
          <w:numId w:val="5"/>
        </w:num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вступає в дію з 01 січня 2022 року.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</w:r>
    </w:p>
    <w:p>
      <w:pPr>
        <w:pStyle w:val="868"/>
        <w:numPr>
          <w:ilvl w:val="0"/>
          <w:numId w:val="5"/>
        </w:num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Times New Roman" w:hAnsi="Times New Roman" w:cs="Times New Roman"/>
          <w:color w:val="000000" w:themeColor="text1"/>
          <w:sz w:val="28"/>
          <w:lang w:val="uk-UA" w:bidi="en-US"/>
        </w:rPr>
        <w:t xml:space="preserve">з питань охорони здоров’я, соціального захисту населення, освіти, культури, молоді, фізкультури і спорту та заступника міського голови з питань діяльності виконавчих органів ради  Прищепу В.В.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</w:r>
    </w:p>
    <w:p>
      <w:pPr>
        <w:pStyle w:val="869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right="60"/>
        <w:jc w:val="both"/>
        <w:spacing w:lineRule="auto" w:line="240" w:after="0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auto"/>
        </w:rPr>
      </w:r>
      <w:r>
        <w:rPr>
          <w:color w:val="000000" w:themeColor="text1"/>
        </w:rPr>
      </w:r>
    </w:p>
    <w:p>
      <w:pPr>
        <w:ind w:right="60"/>
        <w:jc w:val="both"/>
        <w:spacing w:lineRule="auto" w:line="240" w:after="0"/>
        <w:widowControl w:val="off"/>
        <w:tabs>
          <w:tab w:val="left" w:pos="1134" w:leader="none"/>
          <w:tab w:val="left" w:pos="666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auto"/>
        </w:rPr>
        <w:t xml:space="preserve">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auto"/>
        </w:rPr>
        <w:tab/>
        <w:t xml:space="preserve">Геннадій ПРИМАКОВ</w:t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2240" w:h="15840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fldSimple w:instr="PAGE \* MERGEFORMAT">
      <w:r>
        <w:t xml:space="preserve">1</w:t>
      </w:r>
    </w:fldSimple>
    <w:r/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1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6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2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Batang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59"/>
        <w:tabs>
          <w:tab w:val="left" w:pos="1080" w:leader="none"/>
        </w:tabs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9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9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59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9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9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59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9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9"/>
        <w:tabs>
          <w:tab w:val="left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4"/>
    <w:link w:val="863"/>
    <w:uiPriority w:val="9"/>
    <w:rPr>
      <w:rFonts w:ascii="Arial" w:hAnsi="Arial" w:cs="Arial" w:eastAsia="Arial"/>
      <w:sz w:val="40"/>
      <w:szCs w:val="40"/>
    </w:rPr>
  </w:style>
  <w:style w:type="paragraph" w:styleId="689">
    <w:name w:val="Heading 2"/>
    <w:basedOn w:val="862"/>
    <w:next w:val="862"/>
    <w:link w:val="6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0">
    <w:name w:val="Heading 2 Char"/>
    <w:basedOn w:val="864"/>
    <w:link w:val="689"/>
    <w:uiPriority w:val="9"/>
    <w:rPr>
      <w:rFonts w:ascii="Arial" w:hAnsi="Arial" w:cs="Arial" w:eastAsia="Arial"/>
      <w:sz w:val="34"/>
    </w:rPr>
  </w:style>
  <w:style w:type="paragraph" w:styleId="691">
    <w:name w:val="Heading 3"/>
    <w:basedOn w:val="862"/>
    <w:next w:val="862"/>
    <w:link w:val="69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2">
    <w:name w:val="Heading 3 Char"/>
    <w:basedOn w:val="864"/>
    <w:link w:val="691"/>
    <w:uiPriority w:val="9"/>
    <w:rPr>
      <w:rFonts w:ascii="Arial" w:hAnsi="Arial" w:cs="Arial" w:eastAsia="Arial"/>
      <w:sz w:val="30"/>
      <w:szCs w:val="30"/>
    </w:rPr>
  </w:style>
  <w:style w:type="paragraph" w:styleId="693">
    <w:name w:val="Heading 4"/>
    <w:basedOn w:val="862"/>
    <w:next w:val="862"/>
    <w:link w:val="69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4">
    <w:name w:val="Heading 4 Char"/>
    <w:basedOn w:val="864"/>
    <w:link w:val="693"/>
    <w:uiPriority w:val="9"/>
    <w:rPr>
      <w:rFonts w:ascii="Arial" w:hAnsi="Arial" w:cs="Arial" w:eastAsia="Arial"/>
      <w:b/>
      <w:bCs/>
      <w:sz w:val="26"/>
      <w:szCs w:val="26"/>
    </w:rPr>
  </w:style>
  <w:style w:type="paragraph" w:styleId="695">
    <w:name w:val="Heading 5"/>
    <w:basedOn w:val="862"/>
    <w:next w:val="862"/>
    <w:link w:val="69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6">
    <w:name w:val="Heading 5 Char"/>
    <w:basedOn w:val="864"/>
    <w:link w:val="695"/>
    <w:uiPriority w:val="9"/>
    <w:rPr>
      <w:rFonts w:ascii="Arial" w:hAnsi="Arial" w:cs="Arial" w:eastAsia="Arial"/>
      <w:b/>
      <w:bCs/>
      <w:sz w:val="24"/>
      <w:szCs w:val="24"/>
    </w:rPr>
  </w:style>
  <w:style w:type="paragraph" w:styleId="697">
    <w:name w:val="Heading 6"/>
    <w:basedOn w:val="862"/>
    <w:next w:val="862"/>
    <w:link w:val="6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8">
    <w:name w:val="Heading 6 Char"/>
    <w:basedOn w:val="864"/>
    <w:link w:val="697"/>
    <w:uiPriority w:val="9"/>
    <w:rPr>
      <w:rFonts w:ascii="Arial" w:hAnsi="Arial" w:cs="Arial" w:eastAsia="Arial"/>
      <w:b/>
      <w:bCs/>
      <w:sz w:val="22"/>
      <w:szCs w:val="22"/>
    </w:rPr>
  </w:style>
  <w:style w:type="paragraph" w:styleId="699">
    <w:name w:val="Heading 7"/>
    <w:basedOn w:val="862"/>
    <w:next w:val="862"/>
    <w:link w:val="70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0">
    <w:name w:val="Heading 7 Char"/>
    <w:basedOn w:val="864"/>
    <w:link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1">
    <w:name w:val="Heading 8"/>
    <w:basedOn w:val="862"/>
    <w:next w:val="862"/>
    <w:link w:val="70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2">
    <w:name w:val="Heading 8 Char"/>
    <w:basedOn w:val="864"/>
    <w:link w:val="701"/>
    <w:uiPriority w:val="9"/>
    <w:rPr>
      <w:rFonts w:ascii="Arial" w:hAnsi="Arial" w:cs="Arial" w:eastAsia="Arial"/>
      <w:i/>
      <w:iCs/>
      <w:sz w:val="22"/>
      <w:szCs w:val="22"/>
    </w:rPr>
  </w:style>
  <w:style w:type="paragraph" w:styleId="703">
    <w:name w:val="Heading 9"/>
    <w:basedOn w:val="862"/>
    <w:next w:val="862"/>
    <w:link w:val="70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4">
    <w:name w:val="Heading 9 Char"/>
    <w:basedOn w:val="864"/>
    <w:link w:val="703"/>
    <w:uiPriority w:val="9"/>
    <w:rPr>
      <w:rFonts w:ascii="Arial" w:hAnsi="Arial" w:cs="Arial" w:eastAsia="Arial"/>
      <w:i/>
      <w:iCs/>
      <w:sz w:val="21"/>
      <w:szCs w:val="21"/>
    </w:rPr>
  </w:style>
  <w:style w:type="paragraph" w:styleId="705">
    <w:name w:val="Title"/>
    <w:basedOn w:val="862"/>
    <w:next w:val="862"/>
    <w:link w:val="7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6">
    <w:name w:val="Title Char"/>
    <w:basedOn w:val="864"/>
    <w:link w:val="705"/>
    <w:uiPriority w:val="10"/>
    <w:rPr>
      <w:sz w:val="48"/>
      <w:szCs w:val="48"/>
    </w:rPr>
  </w:style>
  <w:style w:type="paragraph" w:styleId="707">
    <w:name w:val="Subtitle"/>
    <w:basedOn w:val="862"/>
    <w:next w:val="862"/>
    <w:link w:val="708"/>
    <w:qFormat/>
    <w:uiPriority w:val="11"/>
    <w:rPr>
      <w:sz w:val="24"/>
      <w:szCs w:val="24"/>
    </w:rPr>
    <w:pPr>
      <w:spacing w:after="200" w:before="200"/>
    </w:pPr>
  </w:style>
  <w:style w:type="character" w:styleId="708">
    <w:name w:val="Subtitle Char"/>
    <w:basedOn w:val="864"/>
    <w:link w:val="707"/>
    <w:uiPriority w:val="11"/>
    <w:rPr>
      <w:sz w:val="24"/>
      <w:szCs w:val="24"/>
    </w:rPr>
  </w:style>
  <w:style w:type="paragraph" w:styleId="709">
    <w:name w:val="Quote"/>
    <w:basedOn w:val="862"/>
    <w:next w:val="862"/>
    <w:link w:val="710"/>
    <w:qFormat/>
    <w:uiPriority w:val="29"/>
    <w:rPr>
      <w:i/>
    </w:rPr>
    <w:pPr>
      <w:ind w:left="720" w:right="720"/>
    </w:p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2"/>
    <w:next w:val="862"/>
    <w:link w:val="71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2"/>
    <w:link w:val="7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4"/>
    <w:link w:val="713"/>
    <w:uiPriority w:val="99"/>
  </w:style>
  <w:style w:type="paragraph" w:styleId="715">
    <w:name w:val="Footer"/>
    <w:basedOn w:val="862"/>
    <w:link w:val="7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4"/>
    <w:link w:val="715"/>
    <w:uiPriority w:val="99"/>
  </w:style>
  <w:style w:type="paragraph" w:styleId="717">
    <w:name w:val="Caption"/>
    <w:basedOn w:val="862"/>
    <w:next w:val="8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8">
    <w:name w:val="Grid Table 4 - Accent 1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9">
    <w:name w:val="Grid Table 4 - Accent 2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0">
    <w:name w:val="Grid Table 4 - Accent 3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1">
    <w:name w:val="Grid Table 4 - Accent 4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2">
    <w:name w:val="Grid Table 4 - Accent 5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3">
    <w:name w:val="Grid Table 4 - Accent 6"/>
    <w:basedOn w:val="8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4">
    <w:name w:val="Grid Table 5 Dark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55">
    <w:name w:val="Grid Table 5 Dark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56">
    <w:name w:val="Grid Table 5 Dark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7">
    <w:name w:val="Grid Table 5 Dark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8">
    <w:name w:val="Grid Table 5 Dark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9">
    <w:name w:val="Grid Table 5 Dark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60">
    <w:name w:val="Grid Table 5 Dark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61">
    <w:name w:val="Grid Table 6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3">
    <w:name w:val="List Table 2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4">
    <w:name w:val="List Table 2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5">
    <w:name w:val="List Table 2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6">
    <w:name w:val="List Table 2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7">
    <w:name w:val="List Table 2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8">
    <w:name w:val="List Table 2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9">
    <w:name w:val="List Table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1">
    <w:name w:val="List Table 6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2">
    <w:name w:val="List Table 6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3">
    <w:name w:val="List Table 6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4">
    <w:name w:val="List Table 6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5">
    <w:name w:val="List Table 6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6">
    <w:name w:val="List Table 6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7">
    <w:name w:val="List Table 7 Colorful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5">
    <w:name w:val="Lined - Accent 1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6">
    <w:name w:val="Lined - Accent 2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7">
    <w:name w:val="Lined - Accent 3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8">
    <w:name w:val="Lined - Accent 4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9">
    <w:name w:val="Lined - Accent 5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0">
    <w:name w:val="Lined - Accent 6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1">
    <w:name w:val="Bordered &amp; Lined - Accent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2">
    <w:name w:val="Bordered &amp; Lined - Accent 1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3">
    <w:name w:val="Bordered &amp; Lined - Accent 2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4">
    <w:name w:val="Bordered &amp; Lined - Accent 3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5">
    <w:name w:val="Bordered &amp; Lined - Accent 4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6">
    <w:name w:val="Bordered &amp; Lined - Accent 5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7">
    <w:name w:val="Bordered &amp; Lined - Accent 6"/>
    <w:basedOn w:val="8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8">
    <w:name w:val="Bordered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9">
    <w:name w:val="Bordered - Accent 1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0">
    <w:name w:val="Bordered - Accent 2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1">
    <w:name w:val="Bordered - Accent 3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2">
    <w:name w:val="Bordered - Accent 4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3">
    <w:name w:val="Bordered - Accent 5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4">
    <w:name w:val="Bordered - Accent 6"/>
    <w:basedOn w:val="8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rPr>
      <w:sz w:val="18"/>
    </w:rPr>
    <w:pPr>
      <w:spacing w:lineRule="auto" w:line="240" w:after="40"/>
    </w:p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4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rPr>
      <w:sz w:val="20"/>
    </w:rPr>
    <w:pPr>
      <w:spacing w:lineRule="auto" w:line="240" w:after="0"/>
    </w:p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rFonts w:ascii="Calibri" w:hAnsi="Calibri" w:cs="Calibri" w:eastAsia="Calibri"/>
      <w:lang w:val="uk-UA"/>
    </w:rPr>
    <w:pPr>
      <w:spacing w:lineRule="auto" w:line="276" w:after="200"/>
    </w:pPr>
  </w:style>
  <w:style w:type="paragraph" w:styleId="863">
    <w:name w:val="Heading 1"/>
    <w:basedOn w:val="862"/>
    <w:next w:val="862"/>
    <w:link w:val="867"/>
    <w:rPr>
      <w:rFonts w:ascii="Times New Roman" w:hAnsi="Times New Roman" w:cs="Times New Roman" w:eastAsia="Times New Roman"/>
      <w:b/>
      <w:sz w:val="28"/>
      <w:szCs w:val="28"/>
      <w:lang w:bidi="en-US"/>
    </w:rPr>
    <w:pPr>
      <w:ind w:right="5244"/>
      <w:jc w:val="both"/>
      <w:spacing w:lineRule="auto" w:line="240" w:after="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 w:customStyle="1">
    <w:name w:val="Заголовок 1 Знак"/>
    <w:basedOn w:val="864"/>
    <w:link w:val="863"/>
    <w:rPr>
      <w:rFonts w:ascii="Times New Roman" w:hAnsi="Times New Roman" w:cs="Times New Roman" w:eastAsia="Times New Roman"/>
      <w:b/>
      <w:sz w:val="28"/>
      <w:szCs w:val="28"/>
      <w:lang w:val="uk-UA" w:bidi="en-US"/>
    </w:rPr>
  </w:style>
  <w:style w:type="paragraph" w:styleId="868">
    <w:name w:val="No Spacing"/>
    <w:qFormat/>
    <w:uiPriority w:val="1"/>
    <w:rPr>
      <w:rFonts w:ascii="Calibri" w:hAnsi="Calibri" w:cs="Calibri" w:eastAsia="Calibri"/>
      <w:lang w:val="uk-UA"/>
    </w:rPr>
    <w:pPr>
      <w:spacing w:lineRule="auto" w:line="240" w:after="0"/>
    </w:pPr>
  </w:style>
  <w:style w:type="paragraph" w:styleId="869" w:customStyle="1">
    <w:name w:val="Абзац списку1"/>
    <w:basedOn w:val="862"/>
    <w:rPr>
      <w:rFonts w:ascii="Times New Roman" w:hAnsi="Times New Roman" w:cs="Times New Roman" w:eastAsia="Times New Roman"/>
      <w:sz w:val="28"/>
      <w:lang w:bidi="en-US"/>
    </w:rPr>
    <w:pPr>
      <w:contextualSpacing w:val="true"/>
      <w:ind w:left="720"/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70" w:customStyle="1">
    <w:name w:val="rvps2"/>
    <w:basedOn w:val="862"/>
    <w:rPr>
      <w:rFonts w:ascii="Times New Roman" w:hAnsi="Times New Roman" w:cs="Times New Roman" w:eastAsia="Times New Roman"/>
      <w:sz w:val="24"/>
      <w:szCs w:val="24"/>
      <w:lang w:val="ru-RU" w:bidi="en-US" w:eastAsia="ru-RU"/>
    </w:rPr>
    <w:pPr>
      <w:spacing w:lineRule="auto" w:line="240"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71">
    <w:name w:val="HTML Preformatted"/>
    <w:basedOn w:val="862"/>
    <w:link w:val="872"/>
    <w:uiPriority w:val="99"/>
    <w:unhideWhenUsed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72" w:customStyle="1">
    <w:name w:val="Стандартный HTML Знак"/>
    <w:basedOn w:val="864"/>
    <w:link w:val="871"/>
    <w:uiPriority w:val="99"/>
    <w:rPr>
      <w:rFonts w:ascii="Courier New" w:hAnsi="Courier New" w:cs="Courier New" w:eastAsia="Times New Roman"/>
      <w:sz w:val="20"/>
      <w:szCs w:val="20"/>
      <w:lang w:val="uk-UA" w:eastAsia="uk-UA"/>
    </w:rPr>
  </w:style>
  <w:style w:type="character" w:styleId="873">
    <w:name w:val="Hyperlink"/>
    <w:uiPriority w:val="99"/>
    <w:semiHidden/>
    <w:unhideWhenUsed/>
    <w:rPr>
      <w:color w:val="0563C1" w:themeColor="hyperlink"/>
      <w:u w:val="single"/>
    </w:rPr>
  </w:style>
  <w:style w:type="paragraph" w:styleId="874">
    <w:name w:val="List Paragraph"/>
    <w:basedOn w:val="862"/>
    <w:qFormat/>
    <w:uiPriority w:val="34"/>
    <w:rPr>
      <w:rFonts w:cs="Times New Roman"/>
    </w:rPr>
    <w:pPr>
      <w:contextualSpacing w:val="true"/>
      <w:ind w:left="720"/>
      <w:spacing w:lineRule="auto" w:line="256" w:after="160"/>
    </w:pPr>
  </w:style>
  <w:style w:type="character" w:styleId="875" w:customStyle="1">
    <w:name w:val="4247"/>
    <w:basedOn w:val="8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zakon.rada.gov.ua/laws/show/1768-14" TargetMode="External"/><Relationship Id="rId16" Type="http://schemas.openxmlformats.org/officeDocument/2006/relationships/hyperlink" Target="https://zakon.rada.gov.ua/laws/show/796-12" TargetMode="External"/><Relationship Id="rId17" Type="http://schemas.openxmlformats.org/officeDocument/2006/relationships/hyperlink" Target="https://zakon.rada.gov.ua/laws/show/355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ПРИМАКОВ Геннадій Анатолійович</cp:lastModifiedBy>
  <cp:revision>14</cp:revision>
  <dcterms:created xsi:type="dcterms:W3CDTF">2021-11-30T06:32:00Z</dcterms:created>
  <dcterms:modified xsi:type="dcterms:W3CDTF">2021-12-13T17:02:29Z</dcterms:modified>
</cp:coreProperties>
</file>