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eastAsia="Batang"/>
          <w:color w:val="000000" w:themeColor="text1"/>
          <w:sz w:val="28"/>
          <w:lang w:eastAsia="ru-RU"/>
        </w:rPr>
        <w:t xml:space="preserve">Д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одаток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 рішення 15 сесії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8 скликання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rFonts w:ascii="Times New Roman" w:hAnsi="Times New Roman" w:eastAsia="Batang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09 грудня 2021 року №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818</w:t>
      </w:r>
      <w:r>
        <w:rPr>
          <w:sz w:val="28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ПРОГРАМА 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організації харчування дітей у закладах 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дошкільної освіти Менської міської ради 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на 2022-2024 роки</w:t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Мена 2021</w:t>
      </w:r>
      <w:r/>
    </w:p>
    <w:p>
      <w:pPr>
        <w:ind w:right="-141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br w:type="page"/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1. ПАСПОРТ ПРОГРАМИ</w:t>
      </w:r>
      <w:r/>
    </w:p>
    <w:tbl>
      <w:tblPr>
        <w:tblW w:w="990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25"/>
        <w:gridCol w:w="1877"/>
        <w:gridCol w:w="1862"/>
        <w:gridCol w:w="1864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організації харчування у закладах дошкільної освіти Менської міської ради на 2022-2024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46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Підстави для розробки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pStyle w:val="882"/>
              <w:ind w:firstLine="450"/>
              <w:jc w:val="both"/>
              <w:spacing w:lineRule="auto" w:line="240" w:after="0" w:afterAutospacing="0" w:before="0" w:beforeAutospacing="0"/>
              <w:shd w:val="clear" w:fill="FFFFFF" w:color="auto"/>
              <w:rPr>
                <w:rFonts w:eastAsia="Batang"/>
                <w:sz w:val="28"/>
                <w:szCs w:val="28"/>
                <w:lang w:eastAsia="ru-RU"/>
              </w:rPr>
            </w:pPr>
            <w:r>
              <w:rPr>
                <w:rFonts w:eastAsia="Batang"/>
                <w:sz w:val="28"/>
                <w:szCs w:val="28"/>
                <w:lang w:eastAsia="ru-RU"/>
              </w:rPr>
              <w:t xml:space="preserve">Закони України «Про освіту», «Про дошкільну освіту», «Про охорону дитинства», </w:t>
            </w:r>
            <w:r>
              <w:rPr>
                <w:sz w:val="28"/>
                <w:szCs w:val="28"/>
                <w:lang w:eastAsia="ru-RU"/>
              </w:rPr>
              <w:t xml:space="preserve">«</w:t>
            </w:r>
            <w:r>
              <w:rPr>
                <w:bCs/>
                <w:sz w:val="28"/>
                <w:szCs w:val="28"/>
                <w:shd w:val="clear" w:fill="FFFFFF" w:color="auto"/>
              </w:rPr>
              <w:t xml:space="preserve">Про державну соціальну допомогу малозабезпеченим сім’ям»,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color w:val="333333"/>
                <w:sz w:val="28"/>
                <w:szCs w:val="28"/>
              </w:rPr>
              <w:t xml:space="preserve">“Про статус і соціальний захист громадян, які постраждали внаслідок Чорнобильської катастрофи”, “Про статус ветеранів війни, гарантії їх соціального захисту”,</w:t>
            </w:r>
            <w:r>
              <w:rPr>
                <w:rFonts w:eastAsia="Batang"/>
                <w:color w:val="7B7B7B" w:themeColor="accent3" w:themeShade="B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№474-І</w:t>
            </w:r>
            <w:r>
              <w:rPr>
                <w:rFonts w:eastAsia="Batang"/>
                <w:sz w:val="28"/>
                <w:szCs w:val="28"/>
                <w:lang w:val="en-US" w:eastAsia="ru-RU"/>
              </w:rPr>
              <w:t xml:space="preserve">X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«Про внесення змін до деяких законів України щодо забезпечення безкоштовним харчуванням дітей, один з батьків яких загинув (пропав безвісти), помер під час захисту незалежності та суверенітету України» від 05.11.2020 №978-І</w:t>
            </w:r>
            <w:r>
              <w:rPr>
                <w:rFonts w:eastAsia="Batang"/>
                <w:sz w:val="28"/>
                <w:szCs w:val="28"/>
                <w:lang w:val="en-US" w:eastAsia="ru-RU"/>
              </w:rPr>
              <w:t xml:space="preserve">X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«Про місцеве самоврядування в Україні,</w:t>
            </w:r>
            <w:r>
              <w:rPr>
                <w:rFonts w:eastAsia="Batang"/>
                <w:color w:val="7B7B7B" w:themeColor="accent3" w:themeShade="BF"/>
                <w:sz w:val="28"/>
                <w:szCs w:val="28"/>
                <w:shd w:val="clear" w:fill="FFFFFF" w:color="auto"/>
                <w:lang w:eastAsia="ru-RU"/>
              </w:rPr>
              <w:t xml:space="preserve"> п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останови Кабінету Міністрів Укра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їни від 02.02.2011 №116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</w:t>
            </w:r>
            <w:r>
              <w:rPr>
                <w:sz w:val="28"/>
                <w:szCs w:val="28"/>
              </w:rPr>
              <w:t xml:space="preserve"> 24.03.2021 року №305 «Про затвердження норм та Порядку організації харчування у закладах освіти та дитячих закладах оздоровлення та відпочинку» (зі змінами)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від 18.01.2016 р. №16 «Про внесення змін до Порядку надання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наказ Мі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ністерства освіти і науки України від 21.11.2002 року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(зі змінами), рішення дванадцятої сесії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Менської міської ради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восьмо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го скликання  №597 від 26.10.2021 року «Про переведення закладів загальної середньої, дошкільної, позашкільної освіти, Степанівського міжшкільного навчально-виробничого комбінату та Комунальної установи «Менський інклюзивно-ресурсний ц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ентр» Менської міської ради Чернігівської області на умови самостійного ведення господарської діяльності та бухгалтерського обліку», №596 «Про створення Комунальної установи «Центр з обслуговування освітніх установ та закладів освіти Менської міської ради»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2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vAlign w:val="bottom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ради, заклади дошкільної освіти, фінансове управління Менської міської ради, Комунальна установа «Центр з обслуговування освітніх установ та закладів освіти» </w:t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vAlign w:val="bottom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Дія програми поширюється на територію населених пунктів, які увійшли до складу Менської міської територіальної громади</w:t>
            </w:r>
            <w:r/>
          </w:p>
        </w:tc>
      </w:tr>
      <w:tr>
        <w:trPr>
          <w:jc w:val="center"/>
          <w:trHeight w:val="3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Строк реалізації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2022-2024 роки</w:t>
            </w:r>
            <w:r/>
          </w:p>
        </w:tc>
      </w:tr>
      <w:tr>
        <w:trPr>
          <w:jc w:val="center"/>
          <w:trHeight w:val="3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Джерела фінансування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Менської міської територіальної громади, інші джерела фінансування, не заборонені законодавством України</w:t>
            </w:r>
            <w:r/>
          </w:p>
        </w:tc>
      </w:tr>
      <w:tr>
        <w:trPr>
          <w:jc w:val="center"/>
          <w:trHeight w:val="3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Обсяги фінансування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Обсяг коштів визначається рішенням сесії міської ради на відповідний рік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Загальний орієнтовний обсяг фінансових ресурсів, необхідних для реалізації програми на 2022-2024 роки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рік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рік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рік (грн)</w:t>
            </w:r>
            <w:r/>
          </w:p>
        </w:tc>
      </w:tr>
      <w:tr>
        <w:trPr>
          <w:jc w:val="center"/>
          <w:trHeight w:val="16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програми, всього:</w:t>
            </w:r>
            <w:r/>
          </w:p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3 778 706,00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4 244 792,00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4 710 887, 00</w:t>
            </w:r>
            <w:r/>
          </w:p>
        </w:tc>
      </w:tr>
      <w:tr>
        <w:trPr>
          <w:jc w:val="center"/>
          <w:trHeight w:val="6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бюджету Менської міської ТГ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2 088 072,00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2 349 081,00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2 610 096,00</w:t>
            </w:r>
            <w:r/>
          </w:p>
        </w:tc>
      </w:tr>
      <w:tr>
        <w:trPr>
          <w:jc w:val="center"/>
          <w:trHeight w:val="25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спеціального фонду (плата за послуги, що надаються бюджетними установами згідно з їх основною діяльністю, спонсорські кошти, надходження благодійних внесків від батьків в натуральній формі, інші джерела коштів, не заборонених законодавством)*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1 690 634,00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1 895 711,00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2 100 791,00</w:t>
            </w:r>
            <w:r/>
          </w:p>
        </w:tc>
      </w:tr>
    </w:tbl>
    <w:p>
      <w:pPr>
        <w:ind w:right="-141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881"/>
        <w:ind w:left="0" w:right="-141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val="ru-RU" w:eastAsia="ru-RU"/>
        </w:rPr>
        <w:t xml:space="preserve">*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Даною програмою передбачені кошти в сумі    50 000  грн.  для придбання солодких подарунків до Новорічних свят</w:t>
      </w:r>
      <w:r/>
    </w:p>
    <w:p>
      <w:pPr>
        <w:pStyle w:val="881"/>
        <w:ind w:left="0" w:right="-141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  <w:t xml:space="preserve">*</w:t>
      </w:r>
      <w:r>
        <w:rPr>
          <w:rFonts w:ascii="Times New Roman" w:hAnsi="Times New Roman" w:eastAsia="Batang"/>
          <w:sz w:val="20"/>
          <w:szCs w:val="20"/>
          <w:lang w:val="ru-RU" w:eastAsia="ru-RU"/>
        </w:rPr>
        <w:t xml:space="preserve">*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У разі сплати за харчування  коштами спеціального фонду (батьківська плата за харчування дітей в ЗДО становить 50% від вартості дітодня) - вартість дітодня в 2022 році становить –40 грн в день на одну дитину, 2023 році – 45 грн, 2024 році – 50 грн.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ЗАГАЛЬНІ ПОЛОЖЕННЯ ПРОГРАМИ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Найважливішими компонентами розвитку особистості дитини є її фізичне, психічне та духовне здоров’я, стан якого визначаєтьс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та виховання.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Одним із основних факторів впливу на здоров’я дітей є повноцінне і раціональне харчування.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Станом на 01.11.2021 року на території Менської ТГ функціонують 16 закладів дошкільної освіти, в яких виховується 596 дітей.</w:t>
      </w:r>
      <w:r/>
    </w:p>
    <w:p>
      <w:pPr>
        <w:ind w:right="-141"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1 січня 2021 року </w:t>
      </w:r>
      <w:r>
        <w:rPr>
          <w:rFonts w:ascii="Times New Roman" w:hAnsi="Times New Roman"/>
          <w:sz w:val="28"/>
          <w:szCs w:val="28"/>
        </w:rPr>
        <w:t xml:space="preserve">згідно рішення другої сесії восьмого скликання від 23 грудня 2020 року №29 «Про внесення до Програми організації харчування дітей в закладах дошкільної освіти Менської міської ради на 2020- 2022 роки" вартість харчування на одну дитину в день з урахуванням</w:t>
      </w:r>
      <w:r>
        <w:rPr>
          <w:rFonts w:ascii="Times New Roman" w:hAnsi="Times New Roman"/>
          <w:sz w:val="28"/>
          <w:szCs w:val="28"/>
        </w:rPr>
        <w:t xml:space="preserve"> підвищення цін на продукти харчування становила 30 грн за умови батьківської плати за харчування дитини в закладах дошкільної освіти 12 грн в день (батьківська плата за харчування дітей складає 40 відсотків від вартості харчування на одну дитину в день). </w:t>
      </w:r>
      <w:r/>
    </w:p>
    <w:p>
      <w:pPr>
        <w:ind w:right="-141"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24.03.2021 року №305 «Про затвердження норм та Порядку організації харчування у закладах освіти та дитячих закладах оздоровлення та відпочинку» (зі змінами) суттєво змінено 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принципи планування та механізм організації харчування здобувачів освіти/дітей у закладах дошкільної освіти,</w:t>
      </w:r>
      <w:r>
        <w:rPr>
          <w:color w:val="333333"/>
          <w:shd w:val="clear" w:fill="FFFFFF" w:color="auto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 передбачено забезпечення більш збалансованого харчування, що вплинуло на формування 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примірного чотиритижневого сезонного меню - документ, що міст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ить набір страв, вихід (масу) їх порцій для різних вікових груп, враховує особливі дієтичні потреби здобувачів освіти/дітей (у разі наявності), сезонність (осінь, зима, весна, літо) та потребує збільшення грошових норм харчування на 1 дитину в день. Згідно</w:t>
      </w:r>
      <w:r>
        <w:rPr>
          <w:rFonts w:ascii="Times New Roman" w:hAnsi="Times New Roman"/>
          <w:sz w:val="28"/>
          <w:szCs w:val="28"/>
        </w:rPr>
        <w:t xml:space="preserve"> рішення дев’ятої сесії восьмого скликання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 31 серпня 2021 року №483 «Про внесення змін до Програми організації харчування дітей в закладах дошкільної освіти Менської міської ради на 2020-2022 роки»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01 вересня 2021 року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вартість харчування на одну дитину в день з урахуванням</w:t>
      </w:r>
      <w:r>
        <w:rPr>
          <w:rFonts w:ascii="Times New Roman" w:hAnsi="Times New Roman"/>
          <w:sz w:val="28"/>
          <w:szCs w:val="28"/>
        </w:rPr>
        <w:t xml:space="preserve"> підвищення цін на продукти харчування становить 35 грн за умови батьківської плати за харчування дитини в закладах дошкільної освіти 14 грн в день (батьківська плата за харчування дітей складає 40 відсотків від вартості харчування на одну дитину в день). 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82"/>
        <w:ind w:firstLine="450"/>
        <w:jc w:val="both"/>
        <w:spacing w:after="0" w:afterAutospacing="0" w:before="0" w:beforeAutospacing="0"/>
        <w:shd w:val="clear" w:fill="FFFFFF" w:color="auto"/>
      </w:pPr>
      <w:r>
        <w:rPr>
          <w:b/>
          <w:sz w:val="28"/>
          <w:szCs w:val="28"/>
        </w:rPr>
        <w:t xml:space="preserve">Безоплатним гарячим харчуванням </w:t>
      </w:r>
      <w:r>
        <w:rPr>
          <w:color w:val="333333"/>
          <w:sz w:val="28"/>
          <w:szCs w:val="28"/>
          <w:shd w:val="clear" w:fill="FFFFFF" w:color="auto"/>
        </w:rPr>
        <w:t xml:space="preserve">за рахунок коштів місцевого бюджету відповідно до встановленого в закладі освіти режиму (кратності) харчування забезпечуються вихованці закладу </w:t>
      </w:r>
      <w:r>
        <w:rPr>
          <w:sz w:val="28"/>
          <w:szCs w:val="28"/>
          <w:shd w:val="clear" w:fill="FFFFFF" w:color="auto"/>
        </w:rPr>
        <w:t xml:space="preserve">освіти</w:t>
      </w:r>
      <w:r>
        <w:rPr>
          <w:sz w:val="28"/>
          <w:szCs w:val="28"/>
        </w:rPr>
        <w:t xml:space="preserve"> з числа:</w:t>
      </w:r>
      <w:r>
        <w:t xml:space="preserve"> </w:t>
      </w:r>
      <w:r/>
    </w:p>
    <w:p>
      <w:pPr>
        <w:pStyle w:val="882"/>
        <w:ind w:firstLine="450"/>
        <w:jc w:val="both"/>
        <w:spacing w:after="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дітей-сиріт;</w:t>
      </w:r>
      <w:r/>
    </w:p>
    <w:p>
      <w:pPr>
        <w:pStyle w:val="882"/>
        <w:ind w:firstLine="450"/>
        <w:jc w:val="both"/>
        <w:spacing w:after="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дітей, позбавлених батьківського піклування;</w:t>
      </w:r>
      <w:r/>
    </w:p>
    <w:p>
      <w:pPr>
        <w:pStyle w:val="882"/>
        <w:ind w:firstLine="450"/>
        <w:jc w:val="both"/>
        <w:spacing w:after="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 з особливими освітніми потребами, які навчаються у спеціальних та інклюзивних класах (групах);</w:t>
      </w:r>
      <w:r/>
    </w:p>
    <w:p>
      <w:pPr>
        <w:pStyle w:val="882"/>
        <w:ind w:firstLine="450"/>
        <w:jc w:val="both"/>
        <w:spacing w:after="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 із сімей, які отримують допомогу відповідно до </w:t>
      </w:r>
      <w:hyperlink r:id="rId14" w:tooltip="https://zakon.rada.gov.ua/laws/show/1768-14" w:history="1">
        <w:r>
          <w:rPr>
            <w:rStyle w:val="878"/>
            <w:rFonts w:eastAsia="Arial"/>
            <w:color w:val="000099"/>
            <w:sz w:val="28"/>
            <w:szCs w:val="28"/>
          </w:rPr>
          <w:t xml:space="preserve">Закону України</w:t>
        </w:r>
      </w:hyperlink>
      <w:r>
        <w:rPr>
          <w:color w:val="333333"/>
          <w:sz w:val="28"/>
          <w:szCs w:val="28"/>
        </w:rPr>
        <w:t xml:space="preserve"> “Про державну соціальну допомогу малозабезпеченим сім’ям”;</w:t>
      </w:r>
      <w:r/>
    </w:p>
    <w:p>
      <w:pPr>
        <w:pStyle w:val="882"/>
        <w:ind w:firstLine="450"/>
        <w:jc w:val="both"/>
        <w:spacing w:after="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учнів закладів освіти, розташованих на територіях радіоактивного забруднення, а</w:t>
      </w:r>
      <w:r>
        <w:rPr>
          <w:color w:val="333333"/>
          <w:sz w:val="28"/>
          <w:szCs w:val="28"/>
        </w:rPr>
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</w:r>
      <w:hyperlink r:id="rId15" w:tooltip="https://zakon.rada.gov.ua/laws/show/796-12" w:history="1">
        <w:r>
          <w:rPr>
            <w:rStyle w:val="878"/>
            <w:rFonts w:eastAsia="Arial"/>
            <w:color w:val="000099"/>
            <w:sz w:val="28"/>
            <w:szCs w:val="28"/>
          </w:rPr>
          <w:t xml:space="preserve">Закону України</w:t>
        </w:r>
      </w:hyperlink>
      <w:r>
        <w:rPr>
          <w:color w:val="333333"/>
          <w:sz w:val="28"/>
          <w:szCs w:val="28"/>
        </w:rPr>
        <w:t xml:space="preserve"> “Про статус і соціальний захист громадян, які постраждали внаслідок Чорнобильської катастрофи”;</w:t>
      </w:r>
      <w:r/>
    </w:p>
    <w:p>
      <w:pPr>
        <w:pStyle w:val="882"/>
        <w:ind w:firstLine="450"/>
        <w:jc w:val="both"/>
        <w:spacing w:after="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 з числа внутрішньо переміщених осіб, діти, які мають статус дитини, яка постраждала внаслідок воєнних дій і збройних конфліктів;</w:t>
      </w:r>
      <w:r/>
    </w:p>
    <w:p>
      <w:pPr>
        <w:pStyle w:val="882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дітей з числа осіб, визначених у</w:t>
      </w:r>
      <w:hyperlink r:id="rId16" w:tooltip="https://zakon.rada.gov.ua/laws/show/3551-12#n147" w:anchor="n147" w:history="1">
        <w:r>
          <w:rPr>
            <w:rStyle w:val="878"/>
            <w:rFonts w:eastAsia="Arial"/>
            <w:color w:val="000000" w:themeColor="text1"/>
            <w:sz w:val="28"/>
            <w:szCs w:val="28"/>
          </w:rPr>
          <w:t xml:space="preserve"> статті 10 </w:t>
        </w:r>
      </w:hyperlink>
      <w:r>
        <w:rPr>
          <w:color w:val="000000" w:themeColor="text1"/>
          <w:sz w:val="28"/>
          <w:szCs w:val="28"/>
        </w:rPr>
        <w:t xml:space="preserve">Закону України “Про статус ветеранів війни, гарантії їх соціального захисту”;</w:t>
      </w:r>
      <w:r/>
    </w:p>
    <w:p>
      <w:pPr>
        <w:pStyle w:val="881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ab/>
        <w:t xml:space="preserve">дітей учасників бойових дій – АТО та ООС;</w:t>
      </w:r>
      <w:r/>
    </w:p>
    <w:p>
      <w:pPr>
        <w:pStyle w:val="881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дітей, один з батьків яких загинув (пропав безвісти), помер під час захисту незалежності та суверенітету України</w:t>
      </w:r>
      <w:r/>
    </w:p>
    <w:p>
      <w:pPr>
        <w:pStyle w:val="881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дітей з інвалідністю;</w:t>
      </w:r>
      <w:r/>
    </w:p>
    <w:p>
      <w:pPr>
        <w:pStyle w:val="881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/>
          <w:lang w:eastAsia="uk-UA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у виняткових випадках (в разі, якщо сім’я опинилась в складних життєвих обставинах або батьки неспромо</w:t>
      </w:r>
      <w:r>
        <w:rPr>
          <w:rFonts w:ascii="Times New Roman" w:hAnsi="Times New Roman"/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ради)).</w:t>
      </w:r>
      <w:r/>
    </w:p>
    <w:p>
      <w:pPr>
        <w:ind w:right="-141"/>
        <w:jc w:val="both"/>
        <w:spacing w:lineRule="auto" w:line="240" w:after="0" w:afterAutospacing="0"/>
        <w:tabs>
          <w:tab w:val="left" w:pos="426" w:leader="none"/>
          <w:tab w:val="left" w:pos="851" w:leader="none"/>
        </w:tabs>
        <w:rPr>
          <w:rStyle w:val="884"/>
          <w:sz w:val="28"/>
          <w:szCs w:val="28"/>
        </w:rPr>
      </w:pPr>
      <w:r>
        <w:rPr>
          <w:rStyle w:val="884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Розмір плати зменшується на 50 відсотків для батьків, у сім’ях яких троє і більше дітей.</w:t>
      </w:r>
      <w:r>
        <w:rPr>
          <w:rStyle w:val="884"/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eastAsia="Times New Roman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Станом на 01.11.2021 року загальна кількість дітей, які охоплені харчуванням в 16 закладів дошкільної освіти - 596 дітей.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Style w:val="883"/>
        </w:rPr>
      </w:pPr>
      <w:r>
        <w:rPr>
          <w:rStyle w:val="883"/>
          <w:rFonts w:ascii="Times New Roman" w:hAnsi="Times New Roman"/>
          <w:sz w:val="28"/>
          <w:szCs w:val="28"/>
        </w:rPr>
        <w:t xml:space="preserve">Безоплатним гарячим харчуванням у закладах дошкільної освіти охоплено 76 чоловік (12,7%) від загальної кількості вихованців; розмір плати зменшено на 50 відсотків для батьків, у сім’ях яких троє і більше дітей 70 особам.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eastAsia="Times New Roman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Вартість харчування на одну дитину в день з урахуванням вимог Постанови К</w:t>
      </w:r>
      <w:r>
        <w:rPr>
          <w:rFonts w:ascii="Times New Roman" w:hAnsi="Times New Roman"/>
          <w:sz w:val="28"/>
          <w:szCs w:val="28"/>
        </w:rPr>
        <w:t xml:space="preserve">абінету Міністрів України від 24.03.2021 року №305 «Про затвердження норм та Порядку організації харчування у закладах освіти та дитячих закладах оздоровлення та відпочинку» (зі змінами) та підвищення цін на продукти харчування 2022-2024 роки має становити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right="-141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для вихованців ЗДО – 40 грн. на день – 2022 рік; 45 грн. – 2023 рік; 50 грн. – 2024 рік. </w:t>
      </w:r>
      <w:r>
        <w:rPr>
          <w:rFonts w:ascii="Times New Roman" w:hAnsi="Times New Roman"/>
          <w:sz w:val="28"/>
          <w:szCs w:val="28"/>
        </w:rPr>
        <w:t xml:space="preserve">За умови </w:t>
      </w:r>
      <w:r>
        <w:rPr>
          <w:rFonts w:ascii="Times New Roman" w:hAnsi="Times New Roman"/>
          <w:sz w:val="28"/>
          <w:szCs w:val="28"/>
        </w:rPr>
        <w:t xml:space="preserve">батьківської плати за харчування дитини в закладах дошкільної освіти 20 грн в день – 2022 рік, 22,5 грн в день – 2023 рік, 25 грн в день – 2023 рік (батьківська плата за харчування дітей складає 50 відсотків від вартості харчування на одну дитину в день). 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 зв’язку з переведенням з 01 січня 2022 року закладів дошкільної освіти на умови самостійного ведення господарської діяльності та бухгалтерського обліку Відділ освіти через Комунальну установу «Центр з обслуговування освітніх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установ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закладів освіти» забезпечуватиме координацію процесу організації харчування та контроль безоплатного та пільгового гарячого харчування дітей дошкільного віку, які відвідують заклади дошкільної освіти Менської ТГ категорії яких визначені даною Програмою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харчовими нормами, якістю продукції, яка надходить до харчоблоків, організація харчування в ЗДО здійснюється керівництвом відповідного закладу в рамках системи </w:t>
      </w:r>
      <w:r>
        <w:rPr>
          <w:sz w:val="28"/>
          <w:szCs w:val="28"/>
          <w:shd w:val="clear" w:fill="FFFFFF" w:color="auto"/>
        </w:rPr>
        <w:t xml:space="preserve"> 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(НАССР).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Комунальна установа «Центр з обслуговування освітніх установ та закладів освіти» спільно з адміністрацією закладу освіти буде  забезпеч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увати закупівлю і контроль за постачанням продуктів харчування та продовольчої сировини гарантованої якості, ведення бухгалтерського обліку продуктів харчування та продовольчої сировини, аналітичний облік батьківської плати за харчування в закладах освіти.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Заклади освіти  забезпечують замовлення необхідної кількості продуктів харчува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ння та продовольчої сировини, їх приймання, складання меню-розкладу, виготовлення страв, подання дітям готових страв, ведення обліку дітей, які отримують харчування, контроль за харчуванням, інформування  батьків про організацію харчування дітей в закладі.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Batang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Розробка Програми зумовлена необхідн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істю створення та забезпечення умов для організації повноцінного та якісного харчування здобувачів освіти закладів дошкільної освіти Менської ТГ, забезпечення пільгових умов оплати харчування вихованців таких категорій, які потребують соціальної підтримки.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також для 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забезпечення дітей солодкими подарунками до Новорічних свят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Batang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Batang"/>
          <w:sz w:val="28"/>
          <w:szCs w:val="28"/>
          <w:highlight w:val="none"/>
          <w:lang w:eastAsia="ru-RU"/>
        </w:rPr>
      </w:r>
      <w:r/>
    </w:p>
    <w:p>
      <w:pPr>
        <w:pStyle w:val="881"/>
        <w:numPr>
          <w:ilvl w:val="0"/>
          <w:numId w:val="1"/>
        </w:numPr>
        <w:jc w:val="center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МЕТА ТА ОСНОВНІ ЗАВДАННЯ ПРОГРАМИ</w:t>
      </w:r>
      <w:r/>
    </w:p>
    <w:p>
      <w:pPr>
        <w:ind w:right="-141" w:firstLine="70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Основна мета Програми – створення умов для збереження здоров’я дітей, підвищення рівня організації харчування, забезпечення вихованців закладів освіти якісним харчуванням, впровадження нових технологій приготування їжі.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/>
    </w:p>
    <w:p>
      <w:pPr>
        <w:ind w:right="-141"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Основними завданнями Програми є:</w:t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вдосконалення системи організації харчування у закладах дошкільної освіти Менської ТГ;</w:t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збереження здоров’я дітей та забезпечення повноцінного і раціонального харчування вихованців закладів дошкільної освіти Менської ТГ;</w:t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удосконалення управління системою організації харчування, оптимізація витрат на її функціонування;</w:t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умов для повноцінного харчування вихованців ЗДО;</w:t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гарячим безоплатним та пільговим харчуванням дітей дошкільного віку, які відвідують заклади дошкільної освіти Менської ТГ, категорії яких визначені даною Програмою</w:t>
      </w:r>
      <w:r/>
    </w:p>
    <w:p>
      <w:pPr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/>
    </w:p>
    <w:p>
      <w:pPr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b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Реалізація Програми дасть змогу:</w:t>
      </w:r>
      <w:r/>
    </w:p>
    <w:p>
      <w:pPr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повноцінного і раціонального харчування дітей дошкільного віку;</w:t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забезпечити гарячим безоплатним та пільговим харчуванням дітей дошкільного віку, які відвідують заклади дошкільної освіти Менської ТГ, категорії яких визначені даною Програмою</w:t>
      </w:r>
      <w:r/>
    </w:p>
    <w:p>
      <w:pPr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формувати навички правильного та здорового харчування;</w:t>
      </w:r>
      <w:r/>
    </w:p>
    <w:p>
      <w:pPr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надавати збалансоване харчування відповідно до віку і стану здоров’я дітей, урізноманітнити раціон харчування;</w:t>
      </w:r>
      <w:r/>
    </w:p>
    <w:p>
      <w:pPr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поліпшити контроль за якістю сировини та готової продукції за системою </w:t>
      </w:r>
      <w:r>
        <w:rPr>
          <w:sz w:val="28"/>
          <w:szCs w:val="28"/>
          <w:shd w:val="clear" w:fill="FFFFFF" w:color="auto"/>
        </w:rPr>
        <w:t xml:space="preserve">(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НАССР);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</w:t>
      </w:r>
      <w:r/>
    </w:p>
    <w:p>
      <w:pPr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забезпечити раціональне та ефективне використання бюджетних коштів.</w:t>
      </w:r>
      <w:r/>
    </w:p>
    <w:p>
      <w:pPr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/>
    </w:p>
    <w:p>
      <w:pPr>
        <w:spacing w:lineRule="auto" w:line="240" w:after="150"/>
        <w:shd w:val="clear" w:fill="FFFFFF" w:color="auto"/>
        <w:rPr>
          <w:rFonts w:ascii="Times New Roman" w:hAnsi="Times New Roman" w:eastAsia="Times New Roman"/>
          <w:b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Доцільність створення даної Програми обумовлена:</w:t>
      </w:r>
      <w:r/>
    </w:p>
    <w:p>
      <w:pPr>
        <w:numPr>
          <w:ilvl w:val="0"/>
          <w:numId w:val="4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турботою про збереження та поліпшення стану здоров’я дітей;</w:t>
      </w:r>
      <w:r/>
    </w:p>
    <w:p>
      <w:pPr>
        <w:numPr>
          <w:ilvl w:val="0"/>
          <w:numId w:val="4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необхідністю створення умов для організації повноцінного і якісного харчування як важливої складової для розвитку дитячого організму;</w:t>
      </w:r>
      <w:r/>
    </w:p>
    <w:p>
      <w:pPr>
        <w:numPr>
          <w:ilvl w:val="0"/>
          <w:numId w:val="4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необхідністю вдосконалення системи організації харчування у закладах дошкільної освіти Менської ТГ, яка забезпечить раціональне, ефективне і прозоре використання бюджетних коштів.</w:t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4.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ОСНОВНІ ЗАХОДИ ПРОГРАМИ</w:t>
      </w:r>
      <w:r/>
    </w:p>
    <w:tbl>
      <w:tblPr>
        <w:tblW w:w="10205" w:type="dxa"/>
        <w:shd w:val="clear" w:fill="FFFFFF" w:color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4876"/>
        <w:gridCol w:w="2551"/>
        <w:gridCol w:w="1701"/>
      </w:tblGrid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№ з/п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Заходи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Виконавці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Термін виконання</w:t>
            </w:r>
            <w:r/>
          </w:p>
        </w:tc>
      </w:tr>
      <w:tr>
        <w:trPr/>
        <w:tc>
          <w:tcPr>
            <w:gridSpan w:val="4"/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205" w:type="dxa"/>
            <w:vAlign w:val="center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1.            Організаційно-методичне забезпечення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1.1.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Удосконалення системи контролю за якістю харчування в закладах дошкільної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освіти Менської ТГ, удосконалення системи </w:t>
            </w:r>
            <w:r>
              <w:rPr>
                <w:sz w:val="28"/>
                <w:szCs w:val="28"/>
                <w:shd w:val="clear" w:fill="FFFFFF" w:color="auto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НАССР)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 освіти, Комунальна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установа, керівники ЗДО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 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1.2.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Систематичне оновлення інформаційних куточків для  батьків щодо харчування дітей.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ЗДО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1.3.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Оновлення бази даних дітей пільгових категорій, які потребують безоплатного або пільгового харчування.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ЗДО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Січень, щорічно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1.4.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Організація та проведення нарад, семінарів з питань формування здорового способу життя.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ЗДО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Відповідно до плану роботи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1.5.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Проведення публічних закупівель продуктів харчування.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Комунальна установа, керівники ЗДО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 потребою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1.6.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Забезпечення фінансування наданих виплат.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Комунальна установа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gridSpan w:val="4"/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20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2.            Організація харчування в  закладах дошкільної освіти Менської ТГ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2.1.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pStyle w:val="882"/>
              <w:ind w:firstLine="450"/>
              <w:jc w:val="both"/>
              <w:spacing w:lineRule="auto" w:line="240" w:after="0" w:afterAutospacing="0" w:before="0" w:beforeAutospacing="0"/>
              <w:shd w:val="clear" w:fill="FFFFFF" w:color="auto"/>
            </w:pPr>
            <w:r>
              <w:rPr>
                <w:b/>
                <w:sz w:val="28"/>
                <w:szCs w:val="28"/>
              </w:rPr>
              <w:t xml:space="preserve">Забезпечення  безоплатним гарячим харчуванням </w:t>
            </w:r>
            <w:r>
              <w:rPr>
                <w:sz w:val="28"/>
                <w:szCs w:val="28"/>
                <w:shd w:val="clear" w:fill="FFFFFF" w:color="auto"/>
              </w:rPr>
              <w:t xml:space="preserve">за рахунок коштів місцевого бюджету відповідно до встановленого в закладі освіти режиму (кратності) харчування для вихованців закладу освіти</w:t>
            </w:r>
            <w:r>
              <w:rPr>
                <w:sz w:val="28"/>
                <w:szCs w:val="28"/>
              </w:rPr>
              <w:t xml:space="preserve"> з числа:</w:t>
            </w:r>
            <w:r>
              <w:t xml:space="preserve"> 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/>
            <w:bookmarkStart w:id="0" w:name="n165"/>
            <w:r/>
            <w:bookmarkEnd w:id="0"/>
            <w: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дітей-сиріт;</w:t>
            </w:r>
            <w:r/>
          </w:p>
          <w:p>
            <w:pPr>
              <w:pStyle w:val="882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-дітей, позбавлених батьківського піклування;</w:t>
            </w:r>
            <w:r/>
          </w:p>
          <w:p>
            <w:pPr>
              <w:pStyle w:val="882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з особливими освітніми потребами, які навчаються у спеціальних та інклюзивних класах (групах);</w:t>
            </w:r>
            <w:r/>
          </w:p>
          <w:p>
            <w:pPr>
              <w:pStyle w:val="882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із сімей, які отримують допомогу відповідно до </w:t>
            </w:r>
            <w:hyperlink r:id="rId17" w:tooltip="https://zakon.rada.gov.ua/laws/show/1768-14" w:history="1">
              <w:r>
                <w:rPr>
                  <w:rStyle w:val="878"/>
                  <w:rFonts w:eastAsia="Arial"/>
                  <w:sz w:val="28"/>
                  <w:szCs w:val="28"/>
                </w:rPr>
                <w:t xml:space="preserve">Закону України</w:t>
              </w:r>
            </w:hyperlink>
            <w:r>
              <w:rPr>
                <w:sz w:val="28"/>
                <w:szCs w:val="28"/>
              </w:rPr>
              <w:t xml:space="preserve"> “Про державну соціальну допомогу малозабезпеченим сім’ям”;</w:t>
            </w:r>
            <w:r/>
          </w:p>
          <w:p>
            <w:pPr>
              <w:pStyle w:val="882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-учнів закладів освіти, розташованих на територіях радіоактивного забруднення, а</w:t>
            </w:r>
            <w:r>
              <w:rPr>
                <w:sz w:val="28"/>
                <w:szCs w:val="28"/>
              </w:rPr>
      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      </w:r>
            <w:hyperlink r:id="rId18" w:tooltip="https://zakon.rada.gov.ua/laws/show/796-12" w:history="1">
              <w:r>
                <w:rPr>
                  <w:rStyle w:val="878"/>
                  <w:rFonts w:eastAsia="Arial"/>
                  <w:sz w:val="28"/>
                  <w:szCs w:val="28"/>
                </w:rPr>
                <w:t xml:space="preserve">Закону України</w:t>
              </w:r>
            </w:hyperlink>
            <w:r>
              <w:rPr>
                <w:sz w:val="28"/>
                <w:szCs w:val="28"/>
              </w:rPr>
              <w:t xml:space="preserve"> “Про статус і соціальний захист громадян, які постраждали внаслідок Чорнобильської катастрофи”;</w:t>
            </w:r>
            <w:r/>
          </w:p>
          <w:p>
            <w:pPr>
              <w:pStyle w:val="882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з числа внутрішньо переміщених осіб, діти, які мають статус дитини, яка постраждала внаслідок воєнних дій і збройних конфліктів;</w:t>
            </w:r>
            <w:r/>
          </w:p>
          <w:p>
            <w:pPr>
              <w:pStyle w:val="882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з числа осіб, визначених у</w:t>
            </w:r>
            <w:hyperlink r:id="rId19" w:tooltip="https://zakon.rada.gov.ua/laws/show/3551-12#n147" w:anchor="n147" w:history="1">
              <w:r>
                <w:rPr>
                  <w:rStyle w:val="878"/>
                  <w:rFonts w:eastAsia="Arial"/>
                  <w:sz w:val="28"/>
                  <w:szCs w:val="28"/>
                </w:rPr>
                <w:t xml:space="preserve"> статті 10 </w:t>
              </w:r>
            </w:hyperlink>
            <w:r>
              <w:rPr>
                <w:sz w:val="28"/>
                <w:szCs w:val="28"/>
              </w:rPr>
              <w:t xml:space="preserve">Закону України “Про статус ветеранів війни, гарантії їх соціального захисту”;</w:t>
            </w:r>
            <w:r/>
          </w:p>
          <w:p>
            <w:pPr>
              <w:pStyle w:val="881"/>
              <w:numPr>
                <w:ilvl w:val="0"/>
                <w:numId w:val="6"/>
              </w:numPr>
              <w:ind w:left="0" w:right="-141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 учасників бойових дій – АТО та ООС;</w:t>
            </w:r>
            <w:r/>
          </w:p>
          <w:p>
            <w:pPr>
              <w:pStyle w:val="881"/>
              <w:numPr>
                <w:ilvl w:val="0"/>
                <w:numId w:val="6"/>
              </w:numPr>
              <w:ind w:left="0" w:right="-141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дітей, один з батьків яких загинув (пропав безвісти), помер під час захисту незалежності та суверенітету України;</w:t>
            </w:r>
            <w:r/>
          </w:p>
          <w:p>
            <w:pPr>
              <w:pStyle w:val="881"/>
              <w:numPr>
                <w:ilvl w:val="0"/>
                <w:numId w:val="6"/>
              </w:numPr>
              <w:ind w:left="0" w:right="-141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 з інвалідністю;</w:t>
            </w:r>
            <w:r/>
          </w:p>
          <w:p>
            <w:pPr>
              <w:pStyle w:val="881"/>
              <w:numPr>
                <w:ilvl w:val="0"/>
                <w:numId w:val="6"/>
              </w:numPr>
              <w:ind w:left="0" w:right="-141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у виняткових випадках (в разі, якщо сім’я опинилась в складних життєвих 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обставинах або батьки неспромо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      </w:r>
            <w:r/>
          </w:p>
          <w:p>
            <w:pPr>
              <w:ind w:right="-141"/>
              <w:jc w:val="both"/>
              <w:spacing w:lineRule="auto" w:line="240" w:after="0" w:afterAutospacing="0"/>
              <w:tabs>
                <w:tab w:val="left" w:pos="426" w:leader="none"/>
                <w:tab w:val="left" w:pos="851" w:leader="none"/>
              </w:tabs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  <w:p>
            <w:pPr>
              <w:ind w:right="-141"/>
              <w:jc w:val="both"/>
              <w:spacing w:lineRule="auto" w:line="240" w:after="0" w:afterAutospacing="0"/>
              <w:tabs>
                <w:tab w:val="left" w:pos="426" w:leader="none"/>
                <w:tab w:val="left" w:pos="851" w:leader="none"/>
              </w:tabs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  <w:t xml:space="preserve">Розмір плати зменшується на 50 відсотків для батьків, у сім’ях яких троє і більше дітей.</w:t>
            </w:r>
            <w:r>
              <w:rPr>
                <w:rStyle w:val="884"/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 освіти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Протягом року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2.2.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Дотримання санітарно-гігієнічних норм щодо організації харчування, оптимального режиму роботи харчоблоків.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Заклади дошкільної освіти Менської ТГ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2.3.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Проведення тематичних перевірок щодо організації харчування в закладах дошкільної освіти.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 освіти, керівники ЗДО 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Згідно плану</w:t>
            </w:r>
            <w:r/>
          </w:p>
        </w:tc>
      </w:tr>
      <w:tr>
        <w:trPr/>
        <w:tc>
          <w:tcPr>
            <w:shd w:val="clear" w:color="FFFFFF" w:fill="FFFFFF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2.4.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FFFFFF" w:fill="FFFFFF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Розподіл коштів на організацію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безоплатного та пільгового гарячого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харчування здобувачів освіти, облік 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звітність за використання коштів, які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виділяються на безоплатне та пільгове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харчування в ЗДО.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FFFFFF" w:fill="FFFFFF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Керівники ЗДО,  КУ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FFFFFF" w:fill="FFFFFF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/>
        <w:tc>
          <w:tcPr>
            <w:shd w:val="clear" w:color="FFFFFF" w:fill="FFFFFF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2.5.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FFFFFF" w:fill="FFFFFF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Придбання та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  <w:t xml:space="preserve">вру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  <w:t xml:space="preserve">чення солодких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  <w:t xml:space="preserve">подарунків дітям до Новорічних свят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FFFFFF" w:fill="FFFFFF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 освіти,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ЗДО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uk-UA"/>
              </w:rPr>
            </w:r>
            <w:r/>
          </w:p>
        </w:tc>
        <w:tc>
          <w:tcPr>
            <w:shd w:val="clear" w:color="FFFFFF" w:fill="FFFFFF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/>
        <w:tc>
          <w:tcPr>
            <w:gridSpan w:val="4"/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205" w:type="dxa"/>
            <w:vAlign w:val="center"/>
            <w:textDirection w:val="lrTb"/>
            <w:noWrap w:val="false"/>
          </w:tcPr>
          <w:p>
            <w:pPr>
              <w:ind w:left="721"/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3.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Підвищення якості харчування </w:t>
            </w:r>
            <w:r/>
          </w:p>
          <w:p>
            <w:pPr>
              <w:ind w:left="721"/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по закладах дошкільної освіти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Менської ТГ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3.1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Розширення асортименту страв.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дошкільної освіти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2022-2024 р.р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3.2.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Розробка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примірного чотиритижневого сезонного меню - документ, що містить набір страв, вихід (масу) їх порцій для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різних вікових груп, враховує особливі дієтичні потреби здобувачів</w:t>
            </w:r>
            <w:r>
              <w:rPr>
                <w:color w:val="000000" w:themeColor="text1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освіти/дітей (у разі наявності), сезонність (осінь, зима, весна, літо).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дошкільної освіти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Щорічно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3.3.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Контроль за якістю та безпекою, дотриманням термінів, умов зберігання та реалізації продуктів, за поставкою продуктів харчування   з наявністю сертифікатів відповідності, посвідчень про якість і супровідних документів.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дошкільної освіти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3.4.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Організація роботи щодо підготовки харчоблоків закладів дошкільної освіти до початку нового навчального року.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Відділ освіти, Комунальна установа, заклади освіти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2022-2024 р.р.</w:t>
            </w:r>
            <w:r/>
          </w:p>
        </w:tc>
      </w:tr>
    </w:tbl>
    <w:p>
      <w:pPr>
        <w:ind w:left="1081" w:firstLine="0"/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/>
    </w:p>
    <w:p>
      <w:pPr>
        <w:ind w:left="1081" w:firstLine="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b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5. ФІНАНСОВЕ ТА РЕСУРСНЕ ЗАБЕЗПЕЧЕННЯ ПРОГРАМИ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Фінансування Програми здійснюєтьс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 за рахунок коштів бюджету  Менської міської територіальної громади відповідно до кошторису після затвердження його рішенням сесії Менської міської ради в межах бюджетних асигнувань, а також за рахунок інших джерел, не заборонених законодавством України.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При цьому обсяг коштів визначається під час формування бюджету з урахуванням його фінансових можливостей та може змінюватися в процесі виконання бюджету при внесенні змін до нього.  </w:t>
      </w:r>
      <w:r/>
    </w:p>
    <w:p>
      <w:pPr>
        <w:ind w:right="-141" w:firstLine="720"/>
        <w:jc w:val="both"/>
        <w:spacing w:lineRule="auto" w:line="240" w:after="0" w:afterAutospacing="0" w:before="0" w:beforeAutospacing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Орієнтовні обсяги та джерела фінансування Програми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на 2022-2024 роки визначені в Паспорті Програми.</w:t>
      </w:r>
      <w:r/>
    </w:p>
    <w:p>
      <w:pPr>
        <w:ind w:firstLine="72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гарячим харчуванням  здійснюється відділом освіти, Комунальною установою «Центр з обслуговування освітніх установ та закладів освіти» та закладами дошкільної освіти.</w:t>
      </w:r>
      <w:r/>
    </w:p>
    <w:p>
      <w:pPr>
        <w:ind w:firstLine="72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Враховуючи те, що протягом року може змінюватись кількість дітей, які відвідують заклади дошкільної освіти, а також кількість дітей, яким надається безоплатне та пільгове гаряче харчування, суми на харчування виділяються згідно фактичної кількості осіб.</w:t>
      </w:r>
      <w:r/>
    </w:p>
    <w:p>
      <w:pPr>
        <w:ind w:firstLine="72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 освіти за підсумками кожного року подає звіт про виконання Програми та вносить пропозиції щодо потреби в коштах на наступний рік, до кінця дії Програми.</w:t>
      </w:r>
      <w:r/>
    </w:p>
    <w:p>
      <w:pPr>
        <w:ind w:firstLine="72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  <w:r/>
    </w:p>
    <w:p>
      <w:pPr>
        <w:numPr>
          <w:ilvl w:val="0"/>
          <w:numId w:val="7"/>
        </w:num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РОЗРАХУНОК ПОТРЕБИ В КОШТАХ </w:t>
      </w:r>
      <w:r/>
    </w:p>
    <w:p>
      <w:pPr>
        <w:ind w:left="720" w:firstLine="0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на виконання Програми</w:t>
      </w:r>
      <w:r/>
    </w:p>
    <w:p>
      <w:pPr>
        <w:ind w:right="-141" w:firstLine="720"/>
        <w:jc w:val="both"/>
        <w:spacing w:lineRule="auto" w:line="240" w:after="0" w:afterAutospacing="0" w:before="0" w:before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основу розрахунку потреби коштів,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необхідних для реалізації даної Програми у 2022-2024 роках покладено наступні вимоги:</w:t>
      </w:r>
      <w:r/>
    </w:p>
    <w:p>
      <w:pPr>
        <w:ind w:right="-141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 фінансування харчування дітей в закладах дошкільної освіти за рахунок місцевого бюджету (50%) та коштів батьків у вигляді плати за харчування (50%);</w:t>
      </w:r>
      <w:r/>
    </w:p>
    <w:p>
      <w:pPr>
        <w:pStyle w:val="881"/>
        <w:numPr>
          <w:ilvl w:val="0"/>
          <w:numId w:val="6"/>
        </w:numPr>
        <w:ind w:left="0" w:right="-141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дітей, що харчуються в закладі дошкільної освіти та не користуються пільгами (у разі сплати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 харчування  коштами спеціального фонду (батьківськими коштами 50% від вартості харчування на одну дитину в день);</w:t>
      </w:r>
      <w:r/>
    </w:p>
    <w:p>
      <w:pPr>
        <w:pStyle w:val="881"/>
        <w:numPr>
          <w:ilvl w:val="0"/>
          <w:numId w:val="6"/>
        </w:numPr>
        <w:ind w:left="0" w:right="-141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дітей, що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забезпечуються  безоплатним гарячим харчуванням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 закладі дошкільної освіти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(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 рахунок коштів місцевого бюджету, категорії визначені даною Програмою);</w:t>
      </w:r>
      <w:r/>
    </w:p>
    <w:p>
      <w:pPr>
        <w:pStyle w:val="881"/>
        <w:numPr>
          <w:ilvl w:val="0"/>
          <w:numId w:val="6"/>
        </w:numPr>
        <w:ind w:left="0" w:right="-141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дітей, що користуються пільгами при оплаті за харчування в закладах дошкільної освіти </w:t>
      </w:r>
      <w:r>
        <w:rPr>
          <w:rFonts w:ascii="Consolas" w:hAnsi="Consolas"/>
          <w:sz w:val="28"/>
          <w:szCs w:val="28"/>
          <w:shd w:val="clear" w:fill="FFFFFF" w:color="auto"/>
        </w:rPr>
        <w:t xml:space="preserve">(р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озмір плати за харчування зменшується на 50 відсотків </w:t>
      </w:r>
      <w:r>
        <w:rPr>
          <w:rStyle w:val="883"/>
          <w:rFonts w:ascii="Times New Roman" w:hAnsi="Times New Roman"/>
          <w:sz w:val="28"/>
          <w:szCs w:val="28"/>
        </w:rPr>
        <w:t xml:space="preserve">для батьків, у сім’ях яких троє і більше дітей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); </w:t>
      </w:r>
      <w:r/>
    </w:p>
    <w:p>
      <w:pPr>
        <w:pStyle w:val="881"/>
        <w:numPr>
          <w:ilvl w:val="0"/>
          <w:numId w:val="6"/>
        </w:numPr>
        <w:ind w:left="0" w:right="-141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вартість харчування на одну дитину в день з урахуванням підвищення цін на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продукти харчування (2022 рік- 40 грн в день, 2023 рік- 45 грн в день, 2024 рік – 50 грн в день), за умови батьківської плати за харчування дитини у закладах дошкільної освіти: 2022 рік - 20 грн в день, 2023 рік- 22,5 грн в день, 2024 рік – 25 грн в день);</w:t>
      </w:r>
      <w:r/>
    </w:p>
    <w:p>
      <w:pPr>
        <w:pStyle w:val="881"/>
        <w:numPr>
          <w:ilvl w:val="0"/>
          <w:numId w:val="6"/>
        </w:numPr>
        <w:ind w:left="0" w:right="-141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середній показник кількості діто-днів за попередні роки;</w:t>
      </w:r>
      <w:r/>
    </w:p>
    <w:p>
      <w:pPr>
        <w:pStyle w:val="881"/>
        <w:numPr>
          <w:ilvl w:val="0"/>
          <w:numId w:val="6"/>
        </w:numPr>
        <w:ind w:left="0" w:right="-141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середній показник виконання норм харчування за попередні роки.</w:t>
      </w:r>
      <w:r/>
    </w:p>
    <w:tbl>
      <w:tblPr>
        <w:tblW w:w="10346" w:type="dxa"/>
        <w:shd w:val="clear" w:fill="FFFFFF" w:color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2459"/>
        <w:gridCol w:w="2359"/>
        <w:gridCol w:w="2055"/>
      </w:tblGrid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347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Всього на рік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4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44546A" w:themeColor="text2"/>
                <w:sz w:val="28"/>
                <w:szCs w:val="28"/>
                <w:lang w:eastAsia="uk-UA"/>
              </w:rPr>
              <w:t xml:space="preserve">  2022 рік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3 778 706,00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3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44546A" w:themeColor="text2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color w:val="44546A" w:themeColor="text2"/>
                <w:sz w:val="28"/>
                <w:szCs w:val="28"/>
                <w:lang w:eastAsia="uk-UA"/>
              </w:rPr>
              <w:t xml:space="preserve"> 2023 рік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4 244 792,00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44546A" w:themeColor="text2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color w:val="44546A" w:themeColor="text2"/>
                <w:sz w:val="28"/>
                <w:szCs w:val="28"/>
                <w:lang w:eastAsia="uk-UA"/>
              </w:rPr>
              <w:t xml:space="preserve">2024 рік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4 710 887, 00</w:t>
            </w:r>
            <w:r/>
          </w:p>
        </w:tc>
      </w:tr>
    </w:tbl>
    <w:p>
      <w:pPr>
        <w:ind w:left="720" w:firstLine="0"/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/>
    </w:p>
    <w:p>
      <w:pPr>
        <w:ind w:left="720" w:firstLine="0"/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7. ОЧІКУВАНІ РЕЗУЛЬТАТИ ВИКОНАННЯ ПРОГРАМИ</w:t>
      </w:r>
      <w:r/>
    </w:p>
    <w:p>
      <w:pPr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Реалізація основних завдань Програми забезпечить:</w:t>
      </w:r>
      <w:r/>
    </w:p>
    <w:p>
      <w:pPr>
        <w:numPr>
          <w:ilvl w:val="0"/>
          <w:numId w:val="8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умов, що сприяють зміцненню здоров’я вихованців закладів дошкільної освіти, їхньому гармонійному розвитку;</w:t>
      </w:r>
      <w:r/>
    </w:p>
    <w:p>
      <w:pPr>
        <w:numPr>
          <w:ilvl w:val="0"/>
          <w:numId w:val="8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якісного, збалансованого та повноцінного харчування вихованців закладів дошкільної освіти;</w:t>
      </w:r>
      <w:r/>
    </w:p>
    <w:p>
      <w:pPr>
        <w:pStyle w:val="881"/>
        <w:numPr>
          <w:ilvl w:val="0"/>
          <w:numId w:val="8"/>
        </w:num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 безоплатним гарячим харчуванням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 рахунок коштів місцевого бюджету відповідно до встановленого в закладі освіти режиму (кратності) харчування для вихованців закладу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 числа категорій визначених даною Програмою;</w:t>
      </w:r>
      <w:r/>
    </w:p>
    <w:p>
      <w:pPr>
        <w:pStyle w:val="881"/>
        <w:numPr>
          <w:ilvl w:val="0"/>
          <w:numId w:val="8"/>
        </w:num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абезпечення  безпечними, якісними солодкими подарунками для дітей до Новорічних свят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/>
    </w:p>
    <w:p>
      <w:pPr>
        <w:pStyle w:val="881"/>
        <w:numPr>
          <w:ilvl w:val="0"/>
          <w:numId w:val="8"/>
        </w:numPr>
        <w:ind w:right="-141"/>
        <w:jc w:val="both"/>
        <w:spacing w:lineRule="auto" w:line="240" w:after="0" w:afterAutospacing="0" w:before="0" w:beforeAutospacing="0"/>
        <w:tabs>
          <w:tab w:val="left" w:pos="426" w:leader="none"/>
          <w:tab w:val="left" w:pos="851" w:leader="none"/>
        </w:tabs>
        <w:rPr>
          <w:rStyle w:val="884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розмір плати зменшується на 50 відсотків для батьків, у сім’ях яких троє і більше дітей</w:t>
      </w:r>
      <w:r>
        <w:rPr>
          <w:rStyle w:val="884"/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8"/>
        </w:numPr>
        <w:jc w:val="both"/>
        <w:spacing w:lineRule="auto" w:line="240" w:after="0" w:afterAutospacing="0" w:before="0" w:beforeAutospacing="0"/>
        <w:shd w:val="clear" w:fill="FFFFFF" w:color="auto"/>
        <w:rPr>
          <w:rFonts w:eastAsia="Times New Roman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раціональне та ефективне використання бюджетних коштів;</w:t>
      </w:r>
      <w:r/>
    </w:p>
    <w:p>
      <w:pPr>
        <w:numPr>
          <w:ilvl w:val="0"/>
          <w:numId w:val="8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формування навичок правильного та здорового харчування.</w:t>
      </w:r>
      <w:r/>
    </w:p>
    <w:p>
      <w:pPr>
        <w:ind w:left="720" w:firstLine="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8. КОНТРОЛЬ ЗА ВИКОНАННЯМ ПРОГРАМИ</w:t>
      </w:r>
      <w:r/>
    </w:p>
    <w:p>
      <w:pPr>
        <w:ind w:firstLine="72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Організація виконання Програми покладається на Відділ освіти Менської міської ради, Комунальну установу «Центр з обслуговування освітніх установ та закладів освіти», адміністрації  закладів дошкільної освіти Менської ТГ.</w:t>
      </w:r>
      <w:r/>
    </w:p>
    <w:p>
      <w:pPr>
        <w:ind w:right="-141"/>
        <w:jc w:val="both"/>
        <w:spacing w:lineRule="auto" w:line="240" w:after="0" w:afterAutospacing="0"/>
        <w:shd w:val="clear" w:fill="FFFFFF" w:color="auto"/>
        <w:tabs>
          <w:tab w:val="left" w:pos="56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Контроль за ходом реалізації Програми здійснюється постійною комісією Менської міської ради з питань охорони здоров’я, соціального захисту населення, освіти, культури, молоді, фізкультури і спорту, </w:t>
      </w:r>
      <w:r>
        <w:rPr>
          <w:rFonts w:ascii="Times New Roman" w:hAnsi="Times New Roman"/>
          <w:sz w:val="28"/>
          <w:szCs w:val="28"/>
        </w:rPr>
        <w:t xml:space="preserve">заступником міського голови з питань діяльності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виконавчих органів </w:t>
      </w:r>
      <w:r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hAnsi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рищепою В.В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</w:r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Начальник Відділу освіти</w:t>
        <w:tab/>
        <w:tab/>
        <w:tab/>
        <w:tab/>
        <w:tab/>
        <w:tab/>
        <w:t xml:space="preserve">Ірина ЛУК’ЯНЕНКО</w:t>
      </w:r>
      <w:r/>
    </w:p>
    <w:p>
      <w:pPr>
        <w:jc w:val="both"/>
        <w:spacing w:lineRule="auto" w:line="240" w:after="150"/>
        <w:shd w:val="clear" w:fill="FFFFFF" w:color="auto"/>
        <w:rPr>
          <w:rFonts w:ascii="Arial" w:hAnsi="Arial" w:cs="Arial" w:eastAsia="Times New Roman"/>
          <w:color w:val="444444"/>
          <w:sz w:val="21"/>
          <w:szCs w:val="21"/>
          <w:lang w:eastAsia="uk-UA"/>
        </w:rPr>
      </w:pPr>
      <w:r>
        <w:rPr>
          <w:rFonts w:ascii="Times New Roman" w:hAnsi="Times New Roman" w:eastAsia="Times New Roman"/>
          <w:color w:val="44546A" w:themeColor="text2"/>
          <w:sz w:val="28"/>
          <w:szCs w:val="28"/>
          <w:lang w:eastAsia="uk-UA"/>
        </w:rPr>
        <w:t xml:space="preserve"> </w:t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6030504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right"/>
      <w:rPr>
        <w:rFonts w:ascii="Times New Roman" w:hAnsi="Times New Roman" w:cs="Times New Roman" w:eastAsia="Times New Roman"/>
        <w:b w:val="false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b w:val="false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b w:val="false"/>
        <w:i/>
        <w:sz w:val="24"/>
      </w:rPr>
    </w:r>
    <w:r>
      <w:rPr>
        <w:rFonts w:ascii="Times New Roman" w:hAnsi="Times New Roman" w:cs="Times New Roman" w:eastAsia="Times New Roman"/>
        <w:b w:val="false"/>
        <w:i/>
        <w:sz w:val="24"/>
      </w:rPr>
      <w:t xml:space="preserve">                                     продовження додатка</w:t>
    </w:r>
    <w:r>
      <w:rPr>
        <w:rFonts w:ascii="Times New Roman" w:hAnsi="Times New Roman" w:cs="Times New Roman" w:eastAsia="Times New Roman"/>
        <w:b w:val="false"/>
        <w:i/>
        <w:sz w:val="24"/>
      </w:rPr>
    </w:r>
    <w:r/>
  </w:p>
  <w:p>
    <w:pPr>
      <w:pStyle w:val="7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1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1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4"/>
    <w:next w:val="874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9">
    <w:name w:val="Heading 1 Char"/>
    <w:basedOn w:val="875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4"/>
    <w:next w:val="874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5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4"/>
    <w:next w:val="874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5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4"/>
    <w:next w:val="874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5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4"/>
    <w:next w:val="874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5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4"/>
    <w:next w:val="874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5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4"/>
    <w:next w:val="874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5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4"/>
    <w:next w:val="874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5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4"/>
    <w:next w:val="874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5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No Spacing"/>
    <w:qFormat/>
    <w:uiPriority w:val="1"/>
    <w:pPr>
      <w:spacing w:lineRule="auto" w:line="240" w:after="0" w:before="0"/>
    </w:pPr>
  </w:style>
  <w:style w:type="paragraph" w:styleId="717">
    <w:name w:val="Title"/>
    <w:basedOn w:val="874"/>
    <w:next w:val="874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5"/>
    <w:link w:val="717"/>
    <w:uiPriority w:val="10"/>
    <w:rPr>
      <w:sz w:val="48"/>
      <w:szCs w:val="48"/>
    </w:rPr>
  </w:style>
  <w:style w:type="paragraph" w:styleId="719">
    <w:name w:val="Subtitle"/>
    <w:basedOn w:val="874"/>
    <w:next w:val="874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5"/>
    <w:link w:val="719"/>
    <w:uiPriority w:val="11"/>
    <w:rPr>
      <w:sz w:val="24"/>
      <w:szCs w:val="24"/>
    </w:rPr>
  </w:style>
  <w:style w:type="paragraph" w:styleId="721">
    <w:name w:val="Quote"/>
    <w:basedOn w:val="874"/>
    <w:next w:val="874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4"/>
    <w:next w:val="874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4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5"/>
    <w:link w:val="725"/>
    <w:uiPriority w:val="99"/>
  </w:style>
  <w:style w:type="paragraph" w:styleId="727">
    <w:name w:val="Footer"/>
    <w:basedOn w:val="874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5"/>
    <w:link w:val="727"/>
    <w:uiPriority w:val="99"/>
  </w:style>
  <w:style w:type="paragraph" w:styleId="729">
    <w:name w:val="Caption"/>
    <w:basedOn w:val="874"/>
    <w:next w:val="8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4 - Accent 1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1">
    <w:name w:val="Grid Table 4 - Accent 2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Grid Table 4 - Accent 3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3">
    <w:name w:val="Grid Table 4 - Accent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Grid Table 4 - Accent 5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5">
    <w:name w:val="Grid Table 4 - Accent 6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6">
    <w:name w:val="Grid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3">
    <w:name w:val="Grid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5">
    <w:name w:val="List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6">
    <w:name w:val="List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7">
    <w:name w:val="List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8">
    <w:name w:val="List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9">
    <w:name w:val="List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0">
    <w:name w:val="List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1">
    <w:name w:val="List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3">
    <w:name w:val="List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4">
    <w:name w:val="List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5">
    <w:name w:val="List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6">
    <w:name w:val="List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7">
    <w:name w:val="List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8">
    <w:name w:val="List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9">
    <w:name w:val="List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1">
    <w:name w:val="List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2">
    <w:name w:val="List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3">
    <w:name w:val="List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4">
    <w:name w:val="List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5">
    <w:name w:val="List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6">
    <w:name w:val="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 &amp; 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Bordered &amp; 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Bordered &amp; 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Bordered &amp; 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Bordered &amp; 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Bordered &amp; 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Bordered &amp; 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1">
    <w:name w:val="Bordered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2">
    <w:name w:val="Bordered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3">
    <w:name w:val="Bordered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4">
    <w:name w:val="Bordered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5">
    <w:name w:val="Bordered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6">
    <w:name w:val="Bordered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7">
    <w:name w:val="footnote text"/>
    <w:basedOn w:val="874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5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rPr>
      <w:sz w:val="20"/>
    </w:rPr>
    <w:pPr>
      <w:spacing w:lineRule="auto" w:line="240" w:after="0"/>
    </w:p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5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character" w:styleId="878">
    <w:name w:val="Hyperlink"/>
    <w:uiPriority w:val="99"/>
    <w:semiHidden/>
    <w:unhideWhenUsed/>
    <w:rPr>
      <w:color w:val="0563C1" w:themeColor="hyperlink"/>
      <w:u w:val="single"/>
    </w:rPr>
  </w:style>
  <w:style w:type="paragraph" w:styleId="879">
    <w:name w:val="HTML Preformatted"/>
    <w:basedOn w:val="874"/>
    <w:link w:val="88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0" w:customStyle="1">
    <w:name w:val="Стандартний HTML Знак"/>
    <w:basedOn w:val="875"/>
    <w:link w:val="879"/>
    <w:uiPriority w:val="99"/>
    <w:semiHidden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881">
    <w:name w:val="List Paragraph"/>
    <w:basedOn w:val="874"/>
    <w:qFormat/>
    <w:uiPriority w:val="34"/>
    <w:pPr>
      <w:contextualSpacing w:val="true"/>
      <w:ind w:left="720"/>
    </w:pPr>
  </w:style>
  <w:style w:type="paragraph" w:styleId="882" w:customStyle="1">
    <w:name w:val="rvps2"/>
    <w:basedOn w:val="874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3" w:customStyle="1">
    <w:name w:val="1332"/>
    <w:basedOn w:val="875"/>
  </w:style>
  <w:style w:type="character" w:styleId="884" w:customStyle="1">
    <w:name w:val="4247"/>
    <w:basedOn w:val="87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zakon.rada.gov.ua/laws/show/1768-14" TargetMode="External"/><Relationship Id="rId15" Type="http://schemas.openxmlformats.org/officeDocument/2006/relationships/hyperlink" Target="https://zakon.rada.gov.ua/laws/show/796-12" TargetMode="External"/><Relationship Id="rId16" Type="http://schemas.openxmlformats.org/officeDocument/2006/relationships/hyperlink" Target="https://zakon.rada.gov.ua/laws/show/3551-12" TargetMode="External"/><Relationship Id="rId17" Type="http://schemas.openxmlformats.org/officeDocument/2006/relationships/hyperlink" Target="https://zakon.rada.gov.ua/laws/show/1768-14" TargetMode="External"/><Relationship Id="rId18" Type="http://schemas.openxmlformats.org/officeDocument/2006/relationships/hyperlink" Target="https://zakon.rada.gov.ua/laws/show/796-12" TargetMode="External"/><Relationship Id="rId19" Type="http://schemas.openxmlformats.org/officeDocument/2006/relationships/hyperlink" Target="https://zakon.rada.gov.ua/laws/show/3551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10</cp:revision>
  <dcterms:created xsi:type="dcterms:W3CDTF">2021-11-24T10:18:00Z</dcterms:created>
  <dcterms:modified xsi:type="dcterms:W3CDTF">2021-12-13T10:58:08Z</dcterms:modified>
</cp:coreProperties>
</file>