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Додаток</w:t>
      </w:r>
      <w:r/>
    </w:p>
    <w:p>
      <w:pPr>
        <w:ind w:left="5669" w:right="0" w:firstLine="0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до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рішення 15 сесії  Менської міської ради 8 скликання </w:t>
      </w:r>
      <w:r/>
    </w:p>
    <w:p>
      <w:pPr>
        <w:ind w:left="5669" w:right="0" w:firstLine="0"/>
        <w:jc w:val="both"/>
        <w:rPr>
          <w:rFonts w:ascii="Times New Roman" w:hAnsi="Times New Roman" w:eastAsia="TimesNewRomanPSMT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09 грудня 2021 року №</w:t>
      </w:r>
      <w:r>
        <w:rPr>
          <w:rFonts w:ascii="Times New Roman" w:hAnsi="Times New Roman" w:cs="Times New Roman" w:eastAsia="Times New Roman"/>
          <w:sz w:val="28"/>
        </w:rPr>
        <w:t xml:space="preserve"> 793</w:t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28"/>
          <w:szCs w:val="28"/>
          <w:lang w:eastAsia="ru-RU"/>
        </w:rPr>
      </w:pPr>
      <w:r>
        <w:rPr>
          <w:rFonts w:ascii="Times New Roman" w:hAnsi="Times New Roman" w:eastAsia="TimesNewRomanPSMT"/>
          <w:b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NewRomanPSMT"/>
          <w:b/>
          <w:sz w:val="40"/>
          <w:szCs w:val="28"/>
        </w:rPr>
      </w:pPr>
      <w:r>
        <w:rPr>
          <w:rFonts w:ascii="Times New Roman" w:hAnsi="Times New Roman" w:eastAsia="TimesNewRomanPSMT"/>
          <w:b/>
          <w:sz w:val="40"/>
          <w:szCs w:val="28"/>
        </w:rPr>
      </w:r>
      <w:r/>
    </w:p>
    <w:p>
      <w:pPr>
        <w:jc w:val="center"/>
        <w:rPr>
          <w:rFonts w:ascii="Times New Roman" w:hAnsi="Times New Roman" w:eastAsia="TimesNewRomanPSMT"/>
          <w:b/>
          <w:sz w:val="40"/>
          <w:szCs w:val="40"/>
        </w:rPr>
      </w:pPr>
      <w:r>
        <w:rPr>
          <w:rFonts w:ascii="Times New Roman" w:hAnsi="Times New Roman" w:eastAsia="TimesNewRomanPSMT"/>
          <w:b/>
          <w:sz w:val="40"/>
          <w:szCs w:val="40"/>
          <w:lang w:eastAsia="ru-RU"/>
        </w:rPr>
        <w:t xml:space="preserve">ПРОГРАМА </w:t>
      </w:r>
      <w:r>
        <w:rPr>
          <w:rFonts w:ascii="Times New Roman" w:hAnsi="Times New Roman" w:eastAsia="TimesNewRomanPSMT"/>
          <w:b/>
          <w:sz w:val="40"/>
          <w:szCs w:val="40"/>
        </w:rPr>
        <w:t xml:space="preserve">РОЗВИТКУ ВОДНОГО ГОСПОДАРСТВА ТА ЕКОЛОГІЧНОГО ОЗДОРОВЛЕННЯ МАЛИХ РІЧОК ТА ВОДОЙМ НА ТЕРИТОРІЇ МЕНСЬКОЇ МІСЬКОЇ ТЕРИТОРІАЛЬНОЇ ГРОМАДИ</w:t>
      </w:r>
      <w:r/>
    </w:p>
    <w:p>
      <w:pPr>
        <w:jc w:val="center"/>
        <w:rPr>
          <w:rFonts w:ascii="Times New Roman" w:hAnsi="Times New Roman" w:eastAsia="TimesNewRomanPSMT"/>
          <w:b/>
          <w:sz w:val="40"/>
          <w:szCs w:val="40"/>
          <w:lang w:eastAsia="ru-RU"/>
        </w:rPr>
      </w:pPr>
      <w:r>
        <w:rPr>
          <w:rFonts w:ascii="Times New Roman" w:hAnsi="Times New Roman" w:eastAsia="TimesNewRomanPSMT"/>
          <w:b/>
          <w:sz w:val="40"/>
          <w:szCs w:val="40"/>
        </w:rPr>
        <w:t xml:space="preserve"> НА 2022-2025 РОКИ</w:t>
      </w:r>
      <w:r/>
    </w:p>
    <w:p>
      <w:pPr>
        <w:jc w:val="center"/>
        <w:rPr>
          <w:rFonts w:ascii="Times New Roman" w:hAnsi="Times New Roman" w:eastAsia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eastAsia="Times New Roman"/>
          <w:b/>
          <w:bCs/>
          <w:sz w:val="40"/>
          <w:szCs w:val="40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3"/>
        </w:rPr>
      </w:pPr>
      <w:r>
        <w:rPr>
          <w:rFonts w:ascii="Times New Roman" w:hAnsi="Times New Roman" w:eastAsia="Times New Roman"/>
          <w:b/>
          <w:bCs/>
          <w:sz w:val="28"/>
          <w:szCs w:val="23"/>
          <w:lang w:eastAsia="ru-RU"/>
        </w:rPr>
        <w:t xml:space="preserve">Ме</w:t>
      </w:r>
      <w:r>
        <w:rPr>
          <w:rFonts w:ascii="Times New Roman" w:hAnsi="Times New Roman" w:eastAsia="Times New Roman"/>
          <w:b/>
          <w:bCs/>
          <w:sz w:val="28"/>
          <w:szCs w:val="23"/>
          <w:lang w:eastAsia="ru-RU"/>
        </w:rPr>
        <w:t xml:space="preserve">на – 2022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3"/>
          <w:szCs w:val="23"/>
          <w:lang w:eastAsia="ru-RU"/>
        </w:rPr>
        <w:br w:type="page"/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І. ПАСПОРТ ПРОГРАМИ </w:t>
      </w:r>
      <w:r/>
    </w:p>
    <w:tbl>
      <w:tblPr>
        <w:tblW w:w="4992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86"/>
        <w:gridCol w:w="3016"/>
        <w:gridCol w:w="6211"/>
      </w:tblGrid>
      <w:tr>
        <w:trPr>
          <w:trHeight w:val="679"/>
        </w:trPr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0" w:name="22"/>
            <w:r/>
            <w:bookmarkEnd w:id="0"/>
            <w:r/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" w:name="23"/>
            <w:r/>
            <w:bookmarkEnd w:id="1"/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Назва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2" w:name="24"/>
            <w:r/>
            <w:bookmarkStart w:id="3" w:name="21"/>
            <w:r/>
            <w:bookmarkEnd w:id="2"/>
            <w:r/>
            <w:bookmarkEnd w:id="3"/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Програма розвитку водного господарства та екологічного оздоровлення малих річок на території </w:t>
            </w: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Менської міської територіальної громади на 2022-2025</w:t>
            </w: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 роки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(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далі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 – 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Програма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)</w:t>
            </w:r>
            <w:r/>
          </w:p>
        </w:tc>
      </w:tr>
      <w:tr>
        <w:trPr>
          <w:trHeight w:val="679"/>
        </w:trPr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Підстава для розроблення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6"/>
                <w:szCs w:val="26"/>
                <w:lang w:eastAsia="ru-RU"/>
              </w:rPr>
              <w:t xml:space="preserve">Водний кодекс України</w:t>
            </w:r>
            <w:r/>
          </w:p>
        </w:tc>
      </w:tr>
      <w:tr>
        <w:trPr>
          <w:trHeight w:val="679"/>
        </w:trPr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Ініціатор розроблення Програми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Відділ земельних відносин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, агропромислового комплексу та екології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Менської міської ради 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4" w:name="25"/>
            <w:r/>
            <w:bookmarkStart w:id="5" w:name="28"/>
            <w:r/>
            <w:bookmarkEnd w:id="4"/>
            <w:r/>
            <w:bookmarkEnd w:id="5"/>
            <w:r/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6" w:name="29"/>
            <w:r/>
            <w:bookmarkEnd w:id="6"/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Розробник Програми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7" w:name="30"/>
            <w:r/>
            <w:bookmarkEnd w:id="7"/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Відділ земельних відносин, агропромислового комплексу та екології Менської міської ради </w:t>
            </w:r>
            <w:r>
              <w:rPr>
                <w:rFonts w:ascii="Times New Roman" w:hAnsi="Times New Roman" w:eastAsia="Times New Roman"/>
                <w:color w:val="FF0000"/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Співрозробники</w:t>
            </w:r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 Програми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Відділ земельних відносин, агропромислового комплексу та екології Менської міської ради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та Ф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інансове управління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Менської міської ради</w:t>
            </w:r>
            <w:r>
              <w:rPr>
                <w:rFonts w:ascii="Times New Roman" w:hAnsi="Times New Roman" w:eastAsia="Times New Roman"/>
                <w:color w:val="FF0000"/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8" w:name="31"/>
            <w:r/>
            <w:bookmarkEnd w:id="8"/>
            <w:r/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9" w:name="32"/>
            <w:r/>
            <w:bookmarkEnd w:id="9"/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Відповідальний виконавець Програми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Менськ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а міська рада</w:t>
            </w:r>
            <w:r/>
          </w:p>
        </w:tc>
      </w:tr>
      <w:tr>
        <w:trPr/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0" w:name="34"/>
            <w:r/>
            <w:bookmarkEnd w:id="10"/>
            <w:r/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1" w:name="35"/>
            <w:r/>
            <w:bookmarkEnd w:id="11"/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Учасники Програми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Корюківська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районна державна адміністрація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, Деснянське басейнове управління водних ресурсів України в Чернігівській області, Менська міська рада, громадські організації, засоби масової інформації</w:t>
            </w:r>
            <w:r/>
          </w:p>
        </w:tc>
      </w:tr>
      <w:tr>
        <w:trPr>
          <w:trHeight w:val="409"/>
        </w:trPr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2" w:name="37"/>
            <w:r/>
            <w:bookmarkEnd w:id="12"/>
            <w:r/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3" w:name="38"/>
            <w:r/>
            <w:bookmarkEnd w:id="13"/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Термін реалізації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2022 - 2025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роки </w:t>
            </w:r>
            <w:r/>
          </w:p>
        </w:tc>
      </w:tr>
      <w:tr>
        <w:trPr/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4" w:name="40"/>
            <w:r/>
            <w:bookmarkEnd w:id="14"/>
            <w:r/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5" w:name="41"/>
            <w:r/>
            <w:bookmarkEnd w:id="15"/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Перелік місцевих бюджетів, які беруть участь у виконанні Програми (для комплексних Програм)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Державний бюджет України</w:t>
            </w:r>
            <w:r>
              <w:rPr>
                <w:rFonts w:ascii="Times New Roman" w:hAnsi="Times New Roman" w:eastAsia="Times New Roman"/>
                <w:i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Бюджет 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Менської міської територіальної громади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6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фінансування по програмі з місцевого бюджету здійснюється в межах видатків, затверджених на відповідний рік за відповідним напрямком, виходячи з фінансових можливостей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6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та інші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джерел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а фінансування не заборонені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 законодавством</w:t>
            </w:r>
            <w:r/>
          </w:p>
        </w:tc>
      </w:tr>
      <w:tr>
        <w:trPr>
          <w:trHeight w:val="1563"/>
        </w:trPr>
        <w:tc>
          <w:tcPr>
            <w:tcW w:w="38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129" w:before="129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6" w:name="43"/>
            <w:r/>
            <w:bookmarkStart w:id="17" w:name="46"/>
            <w:r/>
            <w:bookmarkEnd w:id="16"/>
            <w:r/>
            <w:bookmarkEnd w:id="17"/>
            <w:r/>
            <w:r/>
          </w:p>
        </w:tc>
        <w:tc>
          <w:tcPr>
            <w:tcW w:w="298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/>
            <w:bookmarkStart w:id="18" w:name="47"/>
            <w:r/>
            <w:bookmarkEnd w:id="18"/>
            <w:r>
              <w:rPr>
                <w:rFonts w:ascii="Times New Roman" w:hAnsi="Times New Roman" w:eastAsia="Times New Roman"/>
                <w:bCs/>
                <w:iCs/>
                <w:sz w:val="26"/>
                <w:szCs w:val="26"/>
                <w:lang w:eastAsia="ru-RU"/>
              </w:rPr>
              <w:t xml:space="preserve">Загальний обсяг фінансових ресурсів, необхідних для реалізації Програми, всього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W w:w="614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</w:pPr>
            <w:r/>
            <w:bookmarkStart w:id="19" w:name="467"/>
            <w:r/>
            <w:bookmarkEnd w:id="19"/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  <w:t xml:space="preserve">000 000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6"/>
                <w:szCs w:val="26"/>
                <w:lang w:val="ru-RU" w:eastAsia="ru-RU"/>
              </w:rPr>
              <w:t xml:space="preserve">грн</w:t>
            </w:r>
            <w:r/>
          </w:p>
        </w:tc>
      </w:tr>
    </w:tbl>
    <w:p>
      <w:pPr>
        <w:jc w:val="center"/>
        <w:rPr>
          <w:rFonts w:ascii="Times New Roman" w:hAnsi="Times New Roman" w:eastAsia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aps/>
          <w:sz w:val="28"/>
          <w:szCs w:val="28"/>
          <w:lang w:eastAsia="ru-RU"/>
        </w:rPr>
      </w:r>
      <w:r/>
    </w:p>
    <w:p>
      <w:pPr>
        <w:rPr>
          <w:rFonts w:ascii="Times New Roman" w:hAnsi="Times New Roman" w:eastAsia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aps/>
          <w:sz w:val="28"/>
          <w:szCs w:val="28"/>
          <w:lang w:eastAsia="ru-RU"/>
        </w:rPr>
        <w:br w:type="page"/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aps/>
          <w:sz w:val="28"/>
          <w:szCs w:val="28"/>
          <w:lang w:eastAsia="ru-RU"/>
        </w:rPr>
        <w:t xml:space="preserve">І.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Загальні положення</w:t>
      </w:r>
      <w:r/>
    </w:p>
    <w:p>
      <w:pPr>
        <w:jc w:val="center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r>
      <w:r/>
    </w:p>
    <w:p>
      <w:pPr>
        <w:ind w:firstLine="567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Програма розвитку водного господарства та екологічного оздоровлення малих річок на території Менської міської територіальної громади на 2022-2025 роки (далі – Програма) розроб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лена у відповідності до Водного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кодексу України, З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акону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України «Про мі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сцеве самоврядування в Україні»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Директива 2000/60/ЕС Європейського Парламе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нту та Ради від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23.10.2000 року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Необхідність розробки Програми викликана несприятливою ситуацією 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гідрологічному режимі, санітарному стані та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ландшафтній структурі басейнів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малих річок. Малі ріки є дуже чутливими до антропогенного впливу.</w:t>
      </w:r>
      <w:r/>
    </w:p>
    <w:p>
      <w:pPr>
        <w:ind w:firstLine="567"/>
        <w:jc w:val="both"/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Програма спрямована на розв’язання проблеми відновлення водних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екосистем малих річок.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/>
    </w:p>
    <w:p>
      <w:pPr>
        <w:ind w:firstLine="72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ІІ.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Аналіз причин виникнення проблеми та обґрунтування необхідності її розв’язання 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На території Менської міської територіальної громади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налічується 15 малих річок: річка Мена довжиною 43 км; річка Рівчак довжиною 11,9 км (на території Слобідського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округу), 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Дягова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Дягівський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Волосківський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округи) довжиною 23 км;річка Сперш довжиною 8,46 км.(починається біля населених пунктів Нові Броди, Садове, Данилівка); 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Берествиця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довжиною 11,0 км (на території Слобідського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округу); річка Стара Десна довжиною 18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Ліськівського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Пулка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довжиною 15,9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Блистівського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округу); річка Веприк довжиною 7,5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Блистівського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округу);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Десенка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довжиною 4,3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Ліськівського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Блистівського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старостинських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округів)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Кривуша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довжиною 6,6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Ліськівського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округу);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Блистовенька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довжиною 6,06 км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Блистівського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; 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Титовка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довжиною 5,06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Макошинського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річка Лож довжиною 2,12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Макошинського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Лісківського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старостинських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округів); річка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Бехова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довжиною 5,11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Макошинського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округу); річка Картань довжиною 8,9 км (на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Макошинського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старостинського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округу)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В тому числі одне водосховище площею 149,5 га в селі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Феськ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івка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34 заплавних озер та 16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русловий ставок, 7 ставків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копанів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та три технологічні водойми.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Крім того, по території Менської міської територіальної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громади протікають такі річки,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заток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и, канали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які маючи незначну площу не ввійшли до інвентаризаційної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інформації</w:t>
      </w:r>
      <w:r>
        <w:rPr>
          <w:rFonts w:ascii="Times New Roman" w:hAnsi="Times New Roman" w:eastAsia="Times New Roman"/>
          <w:bCs/>
          <w:color w:val="FF0000"/>
          <w:sz w:val="28"/>
          <w:szCs w:val="28"/>
          <w:lang w:eastAsia="ru-RU"/>
        </w:rPr>
        <w:t xml:space="preserve">.</w:t>
      </w:r>
      <w:r/>
    </w:p>
    <w:p>
      <w:pPr>
        <w:contextualSpacing w:val="true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Аналіз стану малих річок та їх басейнів свідчить, що більшість з них замулені, виснажені, на значній довжині зарослі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чагарниково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-болотною рослинністю. Проведені дослідження якості води в малих річках України за шістьма позиціями виявили кричущу ситуацію. Немає жодної річки України в якій би текла «дуже чиста» або «чиста» вода.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Проблема посилюється стократно від того, що малі річки впадають у великі водні артерії. А три четверті водопостачання в Україні здійснюється з поверхневих водних джерел. Тому, необхідним є прийняття негайних радикальних заходів на відродження малих річок.</w:t>
      </w:r>
      <w:r/>
    </w:p>
    <w:p>
      <w:pPr>
        <w:contextualSpacing w:val="true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Гідрографічна мережа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належить до </w:t>
      </w:r>
      <w:r>
        <w:rPr>
          <w:rFonts w:ascii="Times New Roman" w:hAnsi="Times New Roman" w:eastAsia="Times New Roman"/>
          <w:sz w:val="28"/>
          <w:szCs w:val="28"/>
        </w:rPr>
        <w:t xml:space="preserve">басейну р. Десна.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Малі річки формують більшу частину гідрологічної мережі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проте мають найнижчу, порівняного з більшими водотоками, здатність до самоочищення, та буферну ємність екосистем.</w:t>
      </w:r>
      <w:r/>
    </w:p>
    <w:p>
      <w:pPr>
        <w:contextualSpacing w:val="true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Територія басейну річки </w:t>
      </w:r>
      <w:r>
        <w:rPr>
          <w:rFonts w:ascii="Times New Roman" w:hAnsi="Times New Roman" w:eastAsia="Times New Roman"/>
          <w:sz w:val="28"/>
          <w:szCs w:val="28"/>
        </w:rPr>
        <w:t xml:space="preserve">Десна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межах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є територією, яка зазнає навантаження на водні об'єкти у процесі внаслідок інтенсивного ведення сільського господарства, що зазнає значного антропогенного впливу.</w:t>
      </w:r>
      <w:r/>
    </w:p>
    <w:p>
      <w:pPr>
        <w:contextualSpacing w:val="true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Недостатня узгодженість першочергових і довгострокових планових завдань, </w:t>
      </w:r>
      <w:bookmarkStart w:id="20" w:name="20"/>
      <w:r/>
      <w:bookmarkEnd w:id="20"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відсутніс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ть інтегрованого басейнового підходу до розв'язання екологічних проблем та чіткої координації природоохоронних заходів, недостатнє фінансування безпосередньо природоохоронних заходів призводить до порушення природних умов функціонування річкових екосистем.</w:t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ІІІ. Мета програми</w:t>
      </w:r>
      <w:r/>
    </w:p>
    <w:p>
      <w:pPr>
        <w:contextualSpacing w:val="true"/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Перетворення басейнів 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алих річок у стабільні ландшафти з дотриманням екологічних нормативів, як це передбачено Водним кодексом України та Водною Рамковою Директивою Європейського Союзу, з «добрим» станом поверхневих вод, відновлення їх рекреаційної та туристичної привабливості.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Ця Програма спрямована на ре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алізацію державної політики щодо поліпшення екологічного стану малих річок і їх водозбірних басейнів, як однієї із головних складових забезпечення якісною водою населення і галузей економіки та розв’язання місцевих водогосподарських і екологічних проблем. 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Розв’язання проблем екологічного оздоровлення та відродження малих річок району та їх водозбірних басейнів можливе за умов поєднання державних та місцевих ресурсів та ініціатив. 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 основу реалізації Програми покладено принцип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об’єднання зусиль державних органів виконавчої влади, органів місцевого самоврядування та недержавних організацій для розв’язання проблем пов’язаних з незадовільним санітарно-екологічним і гідрологічним станом малих річок району та їх водозбірних басейнів.</w:t>
      </w:r>
      <w:r/>
    </w:p>
    <w:p>
      <w:pPr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ІV. Етапи виконання заходів Програми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Реалізацію Програми пропонується здійснити поетапно.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Перший етап (2022-2023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рр.) - першочергові заходи. 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Головними завданнями цього етапу є: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реалізація першочергових заходів щодо розчищення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русел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річок і покращення їх гідрологічного та санітарного стану;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розчищення та благоустрій водойм і покращення загальної гідрологічної ситуації в водозбірних басейнах малих річок;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упорядкування прибережних захисних смуг та створення захисних насаджень вздовж річок;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відновлення сприятливого гідрологічного та санітарного стану річок шляхом відродження їх витоків та природних джерел;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Другий етап (2024-2025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рр.) – перспективні заходи та продовження реалізації першочергових заходів.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Головними завданнями цього  першого етапу є: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реалізація перспективних заходів щодо розчищення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русел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річок і покращення їх гідрологічного та санітарного стану;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- виконання робіт по догляду за річками.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Впродовж реалізації Програми передбачається здійснювати інформування громадськості, водокористувачів, місцевих органів влади щодо виконання заходів Програми.</w:t>
      </w:r>
      <w:r/>
    </w:p>
    <w:p>
      <w:pPr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V. Комплекс заходів за основними напрямками дій щодо екологічного оздоровлення всіх малих річок та р. Десна та р. Мена, які знаходяться на території Менської міської територіальної громади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Для досягнення основної мети Програми передбачається розробити і реалізувати проекти та заходи за такими пріоритетними напрямами: </w:t>
      </w:r>
      <w:r/>
    </w:p>
    <w:p>
      <w:pPr>
        <w:numPr>
          <w:ilvl w:val="0"/>
          <w:numId w:val="2"/>
        </w:numPr>
        <w:ind w:left="0" w:firstLine="567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Екологічне покращення, розчищення, регулювання русла та поліпшення санітарного стану річки.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Реалізація заходів даного напрямку передбачає відновлення та підтримання сприятливого гідрологічного режиму річки Десна та її 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притоків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, зокрема: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- розчищення від сміття прибережних смуг;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- розчищення русла річки Мена  та її 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притоків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;</w:t>
      </w:r>
      <w:r>
        <w:rPr>
          <w:b w:val="false"/>
          <w:u w:val="none"/>
        </w:rPr>
      </w:r>
      <w:r/>
    </w:p>
    <w:p>
      <w:pPr>
        <w:numPr>
          <w:ilvl w:val="0"/>
          <w:numId w:val="2"/>
        </w:numPr>
        <w:ind w:left="0" w:firstLine="567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Упорядкування прибережних захисних смуг.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Реалізація заходів даного напрямку передбачає забезпечення виконання робіт з метою створення сприятливого режиму річки Мена та її 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притоків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, попередження її забруднення, засмічення і вичерпання, знищення навколо водних рослин і тварин, а також зменшення 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коливань стоку, створення водоохоронних зон та прибережних захисних смуг річки відповідно до ст.10, 87 Водного кодексу України, «Порядку користування землями водного фонду» затвердженого Постановою Кабінету Міністрів України від 13.05.1996р. № 502, а саме: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- забезпечення виконання робіт, пов'язаних із облаштуванням та упорядкуванням прибережних захисних смуг;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- відновлення рослинного покрову на берегах річки Мена та її 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притоків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;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- підтримання встановленого режиму на територіях водоохоронних зон та прибережних захисних смуг.</w:t>
      </w:r>
      <w:r>
        <w:rPr>
          <w:b w:val="false"/>
          <w:u w:val="none"/>
        </w:rPr>
      </w:r>
      <w:r/>
    </w:p>
    <w:p>
      <w:pPr>
        <w:numPr>
          <w:ilvl w:val="0"/>
          <w:numId w:val="2"/>
        </w:numPr>
        <w:ind w:left="0" w:firstLine="567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Формування інформаційного простору щодо питань інтегрованого управління водними ресурсами та збереження 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біорізноманіття</w:t>
      </w: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 та екологічної свідомості населення.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Реалізація даного заходу передбачає: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sz w:val="28"/>
          <w:szCs w:val="28"/>
          <w:u w:val="none"/>
        </w:rPr>
      </w:pPr>
      <w:r>
        <w:rPr>
          <w:rFonts w:ascii="Times New Roman" w:hAnsi="Times New Roman" w:eastAsia="Times New Roman"/>
          <w:b w:val="false"/>
          <w:bCs/>
          <w:sz w:val="28"/>
          <w:szCs w:val="28"/>
          <w:u w:val="none"/>
          <w:lang w:eastAsia="ru-RU"/>
        </w:rPr>
        <w:t xml:space="preserve">- проведення заходів щодо екологічної освіти населення;</w:t>
      </w:r>
      <w:r>
        <w:rPr>
          <w:b w:val="false"/>
          <w:u w:val="non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забезпечення регулярного інформування засобами масової інформації населення про екологічну ситуацію, факти порушення природоохоронного законодавства та плани будівництва об’єктів, що можуть мати негативний вплив на стан річки;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виготовлення агітаційної поліграфічної продукції екологічного спрямування;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сприяння впровадженню безперервної екологічної освіти в усіх навчальних закладах;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покращення взаємодії природоохоронних і водогосподарських установ зі ЗМІ, екологічної свідомості населення;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залучення учнівської та студентської молоді до природоохоронної діяльності;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проведення лекторіїв і конкурсів на екологічну тематику;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забезпечення регулярного проведення конкурсів дитячих малюнків і творів тощо.</w:t>
      </w:r>
      <w:r/>
    </w:p>
    <w:p>
      <w:pPr>
        <w:ind w:firstLine="7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VІ. Механізми забезпечення виконання Програми </w:t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i w:val="false"/>
          <w:sz w:val="28"/>
          <w:szCs w:val="28"/>
        </w:rPr>
      </w:pP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1. Нормативно-правове забезпечення Програми</w:t>
      </w:r>
      <w:r>
        <w:rPr>
          <w:b w:val="false"/>
          <w:i w:val="fals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i w:val="false"/>
          <w:sz w:val="28"/>
          <w:szCs w:val="28"/>
        </w:rPr>
      </w:pP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Для забезпечення реалізації Програми приймаються відповідні рішення </w:t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Менською міською радою</w:t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 з питань схвалення Програми на </w:t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місцевому</w:t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 рівні; забезпечення щорічних видатків місцевих бюджетів на виконання заходів програми; координації та контролю за виконанням заходів програми тощо.</w:t>
      </w:r>
      <w:r>
        <w:rPr>
          <w:b w:val="false"/>
          <w:i w:val="fals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i w:val="false"/>
          <w:sz w:val="28"/>
          <w:szCs w:val="28"/>
        </w:rPr>
      </w:pP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2. Фінансове забезпечення Програми</w:t>
      </w:r>
      <w:r>
        <w:rPr>
          <w:b w:val="false"/>
          <w:i w:val="fals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i w:val="false"/>
          <w:sz w:val="28"/>
          <w:szCs w:val="28"/>
        </w:rPr>
      </w:pP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Фінансування Програми здійснюватиметься за рахунок коштів Державного бюджету України,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  <w:highlight w:val="white"/>
        </w:rPr>
        <w:t xml:space="preserve"> місцевого бюджету в межах видатків, затверджених на відповідний рік за відповідним напрямком, виходячи з фінансових можливостей</w:t>
      </w:r>
      <w:r>
        <w:rPr>
          <w:rFonts w:ascii="Times New Roman" w:hAnsi="Times New Roman" w:eastAsia="Times New Roman"/>
          <w:b w:val="false"/>
          <w:bCs/>
          <w:i w:val="false"/>
          <w:color w:val="000000" w:themeColor="text1"/>
          <w:sz w:val="28"/>
          <w:szCs w:val="28"/>
          <w:lang w:eastAsia="ru-RU"/>
        </w:rPr>
        <w:t xml:space="preserve">, а також із залученням інших джерел фінансування (орендарів водних </w:t>
      </w:r>
      <w:r>
        <w:rPr>
          <w:rFonts w:ascii="Times New Roman" w:hAnsi="Times New Roman" w:eastAsia="Times New Roman"/>
          <w:b w:val="false"/>
          <w:bCs/>
          <w:i w:val="false"/>
          <w:color w:val="000000" w:themeColor="text1"/>
          <w:sz w:val="28"/>
          <w:szCs w:val="28"/>
          <w:lang w:eastAsia="ru-RU"/>
        </w:rPr>
        <w:t xml:space="preserve">об’є</w:t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ктів, водокористувачів, </w:t>
      </w:r>
      <w:r>
        <w:rPr>
          <w:rFonts w:ascii="Times New Roman" w:hAnsi="Times New Roman" w:eastAsia="Times New Roman"/>
          <w:b w:val="false"/>
          <w:i w:val="false"/>
          <w:sz w:val="28"/>
          <w:szCs w:val="28"/>
          <w:lang w:eastAsia="uk-UA"/>
        </w:rPr>
        <w:t xml:space="preserve">громадських організацій, ґрантів, ґрантових програм; </w:t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благодійних внесків та</w:t>
      </w:r>
      <w:r>
        <w:rPr>
          <w:rFonts w:ascii="Times New Roman" w:hAnsi="Times New Roman" w:eastAsia="Times New Roman"/>
          <w:b w:val="false"/>
          <w:i w:val="false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інші кошти, незаборонені чинним законодавством).</w:t>
      </w:r>
      <w:r>
        <w:rPr>
          <w:b w:val="false"/>
          <w:i w:val="fals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bCs/>
          <w:i w:val="false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lang w:eastAsia="ru-RU"/>
        </w:rPr>
        <w:t xml:space="preserve">Основні заходи передбачені Програмою та обсяги фінансування наведені в додатку (додаток додається).</w:t>
      </w:r>
      <w:r>
        <w:rPr>
          <w:b w:val="false"/>
          <w:i w:val="false"/>
        </w:rPr>
      </w:r>
      <w:r/>
    </w:p>
    <w:p>
      <w:pPr>
        <w:ind w:firstLine="720"/>
        <w:jc w:val="both"/>
        <w:rPr>
          <w:rFonts w:ascii="Times New Roman" w:hAnsi="Times New Roman" w:eastAsia="Times New Roman"/>
          <w:b w:val="false"/>
          <w:i w:val="false"/>
          <w:sz w:val="28"/>
          <w:szCs w:val="28"/>
        </w:rPr>
      </w:pP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 w:val="false"/>
          <w:bCs/>
          <w:i w:val="false"/>
          <w:sz w:val="28"/>
          <w:szCs w:val="28"/>
          <w:highlight w:val="none"/>
          <w:lang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VІІ. Очікувані результати виконання Програми</w:t>
      </w:r>
      <w:r/>
    </w:p>
    <w:p>
      <w:pPr>
        <w:ind w:firstLine="72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Реалізація Програми забезпечить вирішення найбільш гострих питань щодо розвитку водного господарства та екологічного оздоровлення всіх малих річок, в тому числі  р. Мена на території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</w:t>
      </w:r>
      <w:r/>
    </w:p>
    <w:p>
      <w:pPr>
        <w:ind w:firstLine="720"/>
        <w:jc w:val="both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На двох етапах виконання Програми передбачається реалізація заходів щодо розчищення та упорядкування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русел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річок, облаштування та упорядкування прибережних захисних смуг, догляду за річками і джерелами, здійснення паспортизації водойм, створення водоохоронних зон та прибережних захисних смуг річок.</w:t>
      </w:r>
      <w:r/>
    </w:p>
    <w:p>
      <w:pPr>
        <w:ind w:firstLine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0"/>
        <w:jc w:val="both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  <w:t xml:space="preserve">Начальник відділу земельних </w:t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/>
    </w:p>
    <w:p>
      <w:pPr>
        <w:ind w:firstLine="0"/>
        <w:jc w:val="both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  <w:t xml:space="preserve">відносин, агропромислового</w:t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/>
    </w:p>
    <w:p>
      <w:pPr>
        <w:ind w:firstLine="0"/>
        <w:jc w:val="both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  <w:t xml:space="preserve">комплексу та екології Менської</w:t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/>
    </w:p>
    <w:p>
      <w:pPr>
        <w:ind w:firstLine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  <w:t xml:space="preserve">міської ради                                                                               Павло ТЕРЕНТІЄВ</w:t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</w:r>
      <w:r/>
    </w:p>
    <w:p>
      <w:pPr>
        <w:ind w:left="5670"/>
        <w:widowControl w:val="off"/>
        <w:tabs>
          <w:tab w:val="left" w:pos="2127" w:leader="none"/>
        </w:tabs>
        <w:rPr>
          <w:rFonts w:ascii="Times New Roman" w:hAnsi="Times New Roman" w:eastAsia="Lucida Sans Unicode"/>
          <w:bCs/>
          <w:sz w:val="24"/>
          <w:szCs w:val="24"/>
          <w:lang w:bidi="hi-IN" w:eastAsia="hi-IN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Lucida Sans Unicode"/>
          <w:bCs/>
          <w:sz w:val="24"/>
          <w:szCs w:val="24"/>
          <w:lang w:bidi="hi-IN" w:eastAsia="hi-IN"/>
        </w:rPr>
      </w:r>
      <w:r/>
    </w:p>
    <w:p>
      <w:pPr>
        <w:ind w:left="10206"/>
        <w:jc w:val="both"/>
        <w:widowControl w:val="off"/>
        <w:tabs>
          <w:tab w:val="left" w:pos="2127" w:leader="none"/>
        </w:tabs>
        <w:rPr>
          <w:bCs/>
          <w:sz w:val="24"/>
          <w:szCs w:val="24"/>
        </w:rPr>
      </w:pPr>
      <w:r>
        <w:rPr>
          <w:rFonts w:ascii="Times New Roman" w:hAnsi="Times New Roman" w:eastAsia="Lucida Sans Unicode"/>
          <w:bCs/>
          <w:sz w:val="24"/>
          <w:szCs w:val="24"/>
          <w:lang w:bidi="hi-IN" w:eastAsia="hi-IN"/>
        </w:rPr>
        <w:t xml:space="preserve">Додаток</w:t>
      </w:r>
      <w:r>
        <w:t xml:space="preserve"> </w:t>
      </w:r>
      <w:r/>
    </w:p>
    <w:p>
      <w:pPr>
        <w:ind w:left="10206"/>
        <w:jc w:val="both"/>
        <w:widowControl w:val="off"/>
        <w:tabs>
          <w:tab w:val="left" w:pos="2127" w:leader="none"/>
        </w:tabs>
        <w:rPr>
          <w:rFonts w:ascii="Times New Roman" w:hAnsi="Times New Roman" w:eastAsia="Lucida Sans Unicode"/>
          <w:sz w:val="24"/>
          <w:szCs w:val="24"/>
          <w:lang w:bidi="hi-IN" w:eastAsia="hi-IN"/>
        </w:rPr>
      </w:pPr>
      <w:r>
        <w:rPr>
          <w:rFonts w:ascii="Times New Roman" w:hAnsi="Times New Roman" w:cs="Times New Roman" w:eastAsia="Times New Roman"/>
          <w:sz w:val="24"/>
        </w:rPr>
        <w:t xml:space="preserve">до</w:t>
      </w:r>
      <w:r>
        <w:t xml:space="preserve"> </w:t>
      </w:r>
      <w:r>
        <w:rPr>
          <w:rFonts w:ascii="Times New Roman" w:hAnsi="Times New Roman" w:eastAsia="Lucida Sans Unicode"/>
          <w:bCs/>
          <w:sz w:val="24"/>
          <w:szCs w:val="24"/>
          <w:lang w:bidi="hi-IN" w:eastAsia="hi-IN"/>
        </w:rPr>
        <w:t xml:space="preserve">Програми розвитку водного господарства та екологічного оздоровлення малих річок та водойм на території </w:t>
      </w:r>
      <w:r>
        <w:rPr>
          <w:rFonts w:ascii="Times New Roman" w:hAnsi="Times New Roman" w:eastAsia="Lucida Sans Unicode"/>
          <w:bCs/>
          <w:sz w:val="24"/>
          <w:szCs w:val="24"/>
          <w:lang w:bidi="hi-IN" w:eastAsia="hi-IN"/>
        </w:rPr>
        <w:t xml:space="preserve">Менської міської територіальної громади</w:t>
      </w:r>
      <w:r>
        <w:rPr>
          <w:rFonts w:ascii="Times New Roman" w:hAnsi="Times New Roman" w:eastAsia="Lucida Sans Unicode"/>
          <w:bCs/>
          <w:sz w:val="24"/>
          <w:szCs w:val="24"/>
          <w:lang w:bidi="hi-IN" w:eastAsia="hi-IN"/>
        </w:rPr>
        <w:t xml:space="preserve"> на 2022-2025</w:t>
      </w:r>
      <w:r>
        <w:rPr>
          <w:rFonts w:ascii="Times New Roman" w:hAnsi="Times New Roman" w:eastAsia="Lucida Sans Unicode"/>
          <w:bCs/>
          <w:sz w:val="24"/>
          <w:szCs w:val="24"/>
          <w:lang w:bidi="hi-IN" w:eastAsia="hi-IN"/>
        </w:rPr>
        <w:t xml:space="preserve"> роки</w:t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r>
      <w:r/>
    </w:p>
    <w:p>
      <w:pPr>
        <w:ind w:left="10206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Заходи та обсяги фінансування передбачені Програмою</w:t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розвитку водного господарства та екологічного оздоровлення малих річок та водойм </w:t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на території Менської місько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ї територіальної громади на 2022-2025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роки </w:t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18"/>
          <w:szCs w:val="18"/>
        </w:rPr>
      </w:pPr>
      <w:r>
        <w:rPr>
          <w:rFonts w:ascii="Times New Roman" w:hAnsi="Times New Roman" w:eastAsia="Times New Roman"/>
          <w:b/>
          <w:bCs/>
          <w:sz w:val="18"/>
          <w:szCs w:val="18"/>
        </w:rPr>
      </w:r>
      <w:r/>
    </w:p>
    <w:tbl>
      <w:tblPr>
        <w:tblW w:w="1399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6"/>
        <w:gridCol w:w="1275"/>
        <w:gridCol w:w="1276"/>
        <w:gridCol w:w="1275"/>
        <w:gridCol w:w="2693"/>
      </w:tblGrid>
      <w:tr>
        <w:trPr>
          <w:tblHeader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п/н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Заходи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2022 р., тис. грн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2023 р., тис. грн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2024 р., тис. грн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2025 р., тис. грн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Опис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1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Розчищення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русел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річок і покращення їх гідрологічного та санітарного стану.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550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440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280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70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Річки та внутрішні водойми, розташовані на території Менської міської територіальної громади</w:t>
            </w:r>
            <w:r/>
          </w:p>
        </w:tc>
      </w:tr>
      <w:tr>
        <w:trPr>
          <w:trHeight w:val="1571"/>
        </w:trPr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2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Розчищення та благоустрій водойм (видалення дерев, прибирання сміття, укріплення берегів)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120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160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Річки та внутрішні водойми, розташовані на території Менської міської територіальної громади</w:t>
            </w:r>
            <w:r/>
          </w:p>
        </w:tc>
      </w:tr>
      <w:tr>
        <w:trPr>
          <w:trHeight w:val="1465"/>
        </w:trPr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3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Покращення загальної гідрологічної ситуації в водозбірних басейнах малих річок (ремонт гідротехнічних споруд, дамб, та шляхів вдовж берегів)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Річки та внутрішні водойми, розташовані на території Менської міської територіальної громади</w:t>
            </w:r>
            <w:r/>
          </w:p>
        </w:tc>
      </w:tr>
      <w:tr>
        <w:trPr>
          <w:trHeight w:val="1139"/>
        </w:trPr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4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Упорядкування прибережних захисних смуг та створення захисних насаджень вздовж річок.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350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140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170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Річки та внутрішні водойми, розташовані на території Менської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міської територіальної громади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5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Відновлення сприятливого гідрологічного та санітарного стану річок шляхом відродження їх витоків та природніх джерел, розчищення та облаштування природних джерел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270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175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140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Річки та внутрішні водойми, розташовані на території Менської міської територіальної громади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6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Виконання робіт по догляду за річками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160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125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130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140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Річки та внутрішні водойми, розташовані на території Менської міської територіальної громади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7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Облаштування водопою для худоби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190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Менська міська територіальна громада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8</w:t>
            </w:r>
            <w:r/>
          </w:p>
        </w:tc>
        <w:tc>
          <w:tcPr>
            <w:tcW w:w="5529" w:type="dxa"/>
            <w:textDirection w:val="lrTb"/>
            <w:noWrap w:val="false"/>
          </w:tcPr>
          <w:p>
            <w:pPr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Виготовлення проектно-кошторисної документації на вище передбачені види робіт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8" w:space="0"/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Проектно-технічна документація на вище перераховані об’єкти</w:t>
            </w:r>
            <w:r/>
          </w:p>
        </w:tc>
      </w:tr>
      <w:tr>
        <w:trPr/>
        <w:tc>
          <w:tcPr>
            <w:gridSpan w:val="2"/>
            <w:tcW w:w="6204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Всього 5 000 000 грн: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color w:val="000000"/>
                <w:sz w:val="22"/>
                <w:lang w:bidi="ar-S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1940</w:t>
            </w:r>
            <w:r/>
          </w:p>
        </w:tc>
        <w:tc>
          <w:tcPr>
            <w:tcW w:w="127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1250</w:t>
            </w:r>
            <w:r/>
          </w:p>
        </w:tc>
        <w:tc>
          <w:tcPr>
            <w:tcW w:w="127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900</w:t>
            </w:r>
            <w:r/>
          </w:p>
        </w:tc>
        <w:tc>
          <w:tcPr>
            <w:tcW w:w="127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910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-</w:t>
            </w:r>
            <w:r/>
          </w:p>
        </w:tc>
      </w:tr>
    </w:tbl>
    <w:p>
      <w:pPr>
        <w:jc w:val="center"/>
        <w:widowControl w:val="off"/>
        <w:tabs>
          <w:tab w:val="left" w:pos="2127" w:leader="none"/>
        </w:tabs>
      </w:pPr>
      <w:r/>
      <w:r/>
    </w:p>
    <w:p>
      <w:r/>
      <w:r/>
    </w:p>
    <w:p>
      <w:pPr>
        <w:ind w:firstLine="0"/>
        <w:jc w:val="both"/>
        <w:rPr>
          <w:rFonts w:ascii="Times New Roman" w:hAnsi="Times New Roman" w:eastAsia="Times New Roman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  <w:t xml:space="preserve">Начальник відділу земельних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/>
    </w:p>
    <w:p>
      <w:pPr>
        <w:ind w:firstLine="0"/>
        <w:jc w:val="both"/>
        <w:rPr>
          <w:rFonts w:ascii="Times New Roman" w:hAnsi="Times New Roman" w:eastAsia="Times New Roman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  <w:t xml:space="preserve">відносин, агропромислового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/>
    </w:p>
    <w:p>
      <w:pPr>
        <w:ind w:firstLine="0"/>
        <w:jc w:val="both"/>
        <w:rPr>
          <w:rFonts w:ascii="Times New Roman" w:hAnsi="Times New Roman" w:eastAsia="Times New Roman"/>
          <w:highlight w:val="none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  <w:t xml:space="preserve">комплексу та екології Менської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/>
    </w:p>
    <w:p>
      <w:pPr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eastAsia="ru-RU"/>
        </w:rPr>
        <w:t xml:space="preserve">міської ради                                                                               Павло ТЕРЕНТІЄВ</w:t>
      </w:r>
      <w:r/>
    </w:p>
    <w:sectPr>
      <w:footnotePr/>
      <w:endnotePr/>
      <w:type w:val="nextPage"/>
      <w:pgSz w:w="16838" w:h="11906" w:orient="landscape"/>
      <w:pgMar w:top="567" w:right="1134" w:bottom="426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newromanpsmt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59323729"/>
      <w:docPartObj>
        <w:docPartGallery w:val="Page Numbers (Top of Page)"/>
        <w:docPartUnique w:val="true"/>
      </w:docPartObj>
      <w:rPr/>
    </w:sdtPr>
    <w:sdtContent>
      <w:p>
        <w:pPr>
          <w:pStyle w:val="899"/>
          <w:jc w:val="right"/>
          <w:tabs>
            <w:tab w:val="clear" w:pos="4677" w:leader="none"/>
            <w:tab w:val="clear" w:pos="9355" w:leader="none"/>
          </w:tabs>
          <w:rPr>
            <w:rFonts w:ascii="Times New Roman" w:hAnsi="Times New Roman" w:cs="Times New Roman" w:eastAsia="Times New Roman"/>
            <w:i/>
            <w:sz w:val="24"/>
          </w:rPr>
        </w:pPr>
        <w:r>
          <w:rPr>
            <w:rFonts w:ascii="Times New Roman" w:hAnsi="Times New Roman" w:cs="Times New Roman" w:eastAsia="Times New Roman"/>
            <w:i/>
            <w:sz w:val="24"/>
          </w:rPr>
          <w:fldChar w:fldCharType="begin"/>
        </w:r>
        <w:r>
          <w:rPr>
            <w:rFonts w:ascii="Times New Roman" w:hAnsi="Times New Roman" w:cs="Times New Roman" w:eastAsia="Times New Roman"/>
            <w:i/>
            <w:sz w:val="24"/>
          </w:rPr>
          <w:instrText xml:space="preserve">PAGE   \* MERGEFORMAT</w:instrText>
        </w:r>
        <w:r>
          <w:rPr>
            <w:rFonts w:ascii="Times New Roman" w:hAnsi="Times New Roman" w:cs="Times New Roman" w:eastAsia="Times New Roman"/>
            <w:i/>
            <w:sz w:val="24"/>
          </w:rPr>
          <w:fldChar w:fldCharType="separate"/>
        </w:r>
        <w:r>
          <w:rPr>
            <w:rFonts w:ascii="Times New Roman" w:hAnsi="Times New Roman" w:cs="Times New Roman" w:eastAsia="Times New Roman"/>
            <w:i/>
            <w:sz w:val="24"/>
            <w:lang w:val="ru-RU"/>
          </w:rPr>
          <w:t xml:space="preserve">8</w:t>
        </w:r>
        <w:r>
          <w:rPr>
            <w:rFonts w:ascii="Times New Roman" w:hAnsi="Times New Roman" w:cs="Times New Roman" w:eastAsia="Times New Roman"/>
            <w:i/>
            <w:sz w:val="24"/>
          </w:rPr>
          <w:fldChar w:fldCharType="end"/>
          <w:t xml:space="preserve">                                      продовження додатка</w:t>
        </w:r>
        <w:r>
          <w:rPr>
            <w:rFonts w:ascii="Times New Roman" w:hAnsi="Times New Roman" w:cs="Times New Roman" w:eastAsia="Times New Roman"/>
            <w:i/>
            <w:sz w:val="24"/>
          </w:rPr>
        </w:r>
        <w:r/>
      </w:p>
    </w:sdtContent>
  </w:sdt>
  <w:p>
    <w:pPr>
      <w:pStyle w:val="8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jc w:val="center"/>
    </w:pPr>
    <w:fldSimple w:instr="PAGE \* MERGEFORMAT">
      <w:r>
        <w:t xml:space="preserve">1</w:t>
      </w:r>
    </w:fldSimple>
    <w:r/>
    <w:r/>
  </w:p>
  <w:p>
    <w:pPr>
      <w:pStyle w:val="8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>
    <w:name w:val="Heading 1"/>
    <w:basedOn w:val="895"/>
    <w:next w:val="895"/>
    <w:link w:val="72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0">
    <w:name w:val="Heading 1 Char"/>
    <w:basedOn w:val="896"/>
    <w:link w:val="719"/>
    <w:uiPriority w:val="9"/>
    <w:rPr>
      <w:rFonts w:ascii="Arial" w:hAnsi="Arial" w:cs="Arial" w:eastAsia="Arial"/>
      <w:sz w:val="40"/>
      <w:szCs w:val="40"/>
    </w:rPr>
  </w:style>
  <w:style w:type="paragraph" w:styleId="721">
    <w:name w:val="Heading 2"/>
    <w:basedOn w:val="895"/>
    <w:next w:val="895"/>
    <w:link w:val="7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2">
    <w:name w:val="Heading 2 Char"/>
    <w:basedOn w:val="896"/>
    <w:link w:val="721"/>
    <w:uiPriority w:val="9"/>
    <w:rPr>
      <w:rFonts w:ascii="Arial" w:hAnsi="Arial" w:cs="Arial" w:eastAsia="Arial"/>
      <w:sz w:val="34"/>
    </w:rPr>
  </w:style>
  <w:style w:type="paragraph" w:styleId="723">
    <w:name w:val="Heading 3"/>
    <w:basedOn w:val="895"/>
    <w:next w:val="895"/>
    <w:link w:val="7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4">
    <w:name w:val="Heading 3 Char"/>
    <w:basedOn w:val="896"/>
    <w:link w:val="723"/>
    <w:uiPriority w:val="9"/>
    <w:rPr>
      <w:rFonts w:ascii="Arial" w:hAnsi="Arial" w:cs="Arial" w:eastAsia="Arial"/>
      <w:sz w:val="30"/>
      <w:szCs w:val="30"/>
    </w:rPr>
  </w:style>
  <w:style w:type="paragraph" w:styleId="725">
    <w:name w:val="Heading 4"/>
    <w:basedOn w:val="895"/>
    <w:next w:val="895"/>
    <w:link w:val="7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6">
    <w:name w:val="Heading 4 Char"/>
    <w:basedOn w:val="896"/>
    <w:link w:val="725"/>
    <w:uiPriority w:val="9"/>
    <w:rPr>
      <w:rFonts w:ascii="Arial" w:hAnsi="Arial" w:cs="Arial" w:eastAsia="Arial"/>
      <w:b/>
      <w:bCs/>
      <w:sz w:val="26"/>
      <w:szCs w:val="26"/>
    </w:rPr>
  </w:style>
  <w:style w:type="paragraph" w:styleId="727">
    <w:name w:val="Heading 5"/>
    <w:basedOn w:val="895"/>
    <w:next w:val="895"/>
    <w:link w:val="7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8">
    <w:name w:val="Heading 5 Char"/>
    <w:basedOn w:val="896"/>
    <w:link w:val="727"/>
    <w:uiPriority w:val="9"/>
    <w:rPr>
      <w:rFonts w:ascii="Arial" w:hAnsi="Arial" w:cs="Arial" w:eastAsia="Arial"/>
      <w:b/>
      <w:bCs/>
      <w:sz w:val="24"/>
      <w:szCs w:val="24"/>
    </w:rPr>
  </w:style>
  <w:style w:type="paragraph" w:styleId="729">
    <w:name w:val="Heading 6"/>
    <w:basedOn w:val="895"/>
    <w:next w:val="895"/>
    <w:link w:val="73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0">
    <w:name w:val="Heading 6 Char"/>
    <w:basedOn w:val="896"/>
    <w:link w:val="729"/>
    <w:uiPriority w:val="9"/>
    <w:rPr>
      <w:rFonts w:ascii="Arial" w:hAnsi="Arial" w:cs="Arial" w:eastAsia="Arial"/>
      <w:b/>
      <w:bCs/>
      <w:sz w:val="22"/>
      <w:szCs w:val="22"/>
    </w:rPr>
  </w:style>
  <w:style w:type="paragraph" w:styleId="731">
    <w:name w:val="Heading 7"/>
    <w:basedOn w:val="895"/>
    <w:next w:val="895"/>
    <w:link w:val="73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2">
    <w:name w:val="Heading 7 Char"/>
    <w:basedOn w:val="896"/>
    <w:link w:val="7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3">
    <w:name w:val="Heading 8"/>
    <w:basedOn w:val="895"/>
    <w:next w:val="895"/>
    <w:link w:val="73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4">
    <w:name w:val="Heading 8 Char"/>
    <w:basedOn w:val="896"/>
    <w:link w:val="733"/>
    <w:uiPriority w:val="9"/>
    <w:rPr>
      <w:rFonts w:ascii="Arial" w:hAnsi="Arial" w:cs="Arial" w:eastAsia="Arial"/>
      <w:i/>
      <w:iCs/>
      <w:sz w:val="22"/>
      <w:szCs w:val="22"/>
    </w:rPr>
  </w:style>
  <w:style w:type="paragraph" w:styleId="735">
    <w:name w:val="Heading 9"/>
    <w:basedOn w:val="895"/>
    <w:next w:val="895"/>
    <w:link w:val="7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6">
    <w:name w:val="Heading 9 Char"/>
    <w:basedOn w:val="896"/>
    <w:link w:val="735"/>
    <w:uiPriority w:val="9"/>
    <w:rPr>
      <w:rFonts w:ascii="Arial" w:hAnsi="Arial" w:cs="Arial" w:eastAsia="Arial"/>
      <w:i/>
      <w:iCs/>
      <w:sz w:val="21"/>
      <w:szCs w:val="21"/>
    </w:rPr>
  </w:style>
  <w:style w:type="paragraph" w:styleId="737">
    <w:name w:val="List Paragraph"/>
    <w:basedOn w:val="895"/>
    <w:qFormat/>
    <w:uiPriority w:val="34"/>
    <w:pPr>
      <w:contextualSpacing w:val="true"/>
      <w:ind w:left="720"/>
    </w:pPr>
  </w:style>
  <w:style w:type="paragraph" w:styleId="738">
    <w:name w:val="No Spacing"/>
    <w:qFormat/>
    <w:uiPriority w:val="1"/>
    <w:pPr>
      <w:spacing w:lineRule="auto" w:line="240" w:after="0" w:before="0"/>
    </w:pPr>
  </w:style>
  <w:style w:type="paragraph" w:styleId="739">
    <w:name w:val="Title"/>
    <w:basedOn w:val="895"/>
    <w:next w:val="895"/>
    <w:link w:val="7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0">
    <w:name w:val="Title Char"/>
    <w:basedOn w:val="896"/>
    <w:link w:val="739"/>
    <w:uiPriority w:val="10"/>
    <w:rPr>
      <w:sz w:val="48"/>
      <w:szCs w:val="48"/>
    </w:rPr>
  </w:style>
  <w:style w:type="paragraph" w:styleId="741">
    <w:name w:val="Subtitle"/>
    <w:basedOn w:val="895"/>
    <w:next w:val="895"/>
    <w:link w:val="742"/>
    <w:qFormat/>
    <w:uiPriority w:val="11"/>
    <w:rPr>
      <w:sz w:val="24"/>
      <w:szCs w:val="24"/>
    </w:rPr>
    <w:pPr>
      <w:spacing w:after="200" w:before="200"/>
    </w:pPr>
  </w:style>
  <w:style w:type="character" w:styleId="742">
    <w:name w:val="Subtitle Char"/>
    <w:basedOn w:val="896"/>
    <w:link w:val="741"/>
    <w:uiPriority w:val="11"/>
    <w:rPr>
      <w:sz w:val="24"/>
      <w:szCs w:val="24"/>
    </w:rPr>
  </w:style>
  <w:style w:type="paragraph" w:styleId="743">
    <w:name w:val="Quote"/>
    <w:basedOn w:val="895"/>
    <w:next w:val="895"/>
    <w:link w:val="744"/>
    <w:qFormat/>
    <w:uiPriority w:val="29"/>
    <w:rPr>
      <w:i/>
    </w:rPr>
    <w:pPr>
      <w:ind w:left="720" w:right="720"/>
    </w:pPr>
  </w:style>
  <w:style w:type="character" w:styleId="744">
    <w:name w:val="Quote Char"/>
    <w:link w:val="743"/>
    <w:uiPriority w:val="29"/>
    <w:rPr>
      <w:i/>
    </w:rPr>
  </w:style>
  <w:style w:type="paragraph" w:styleId="745">
    <w:name w:val="Intense Quote"/>
    <w:basedOn w:val="895"/>
    <w:next w:val="895"/>
    <w:link w:val="74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>
    <w:name w:val="Intense Quote Char"/>
    <w:link w:val="745"/>
    <w:uiPriority w:val="30"/>
    <w:rPr>
      <w:i/>
    </w:rPr>
  </w:style>
  <w:style w:type="character" w:styleId="747">
    <w:name w:val="Header Char"/>
    <w:basedOn w:val="896"/>
    <w:link w:val="899"/>
    <w:uiPriority w:val="99"/>
  </w:style>
  <w:style w:type="character" w:styleId="748">
    <w:name w:val="Footer Char"/>
    <w:basedOn w:val="896"/>
    <w:link w:val="901"/>
    <w:uiPriority w:val="99"/>
  </w:style>
  <w:style w:type="paragraph" w:styleId="749">
    <w:name w:val="Caption"/>
    <w:basedOn w:val="895"/>
    <w:next w:val="8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0">
    <w:name w:val="Caption Char"/>
    <w:basedOn w:val="749"/>
    <w:link w:val="901"/>
    <w:uiPriority w:val="99"/>
  </w:style>
  <w:style w:type="table" w:styleId="751">
    <w:name w:val="Table Grid"/>
    <w:basedOn w:val="89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Table Grid Light"/>
    <w:basedOn w:val="8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1"/>
    <w:basedOn w:val="8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8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>
    <w:name w:val="Grid Table 4 - Accent 1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1">
    <w:name w:val="Grid Table 4 - Accent 2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Grid Table 4 - Accent 3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3">
    <w:name w:val="Grid Table 4 - Accent 4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Grid Table 4 - Accent 5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5">
    <w:name w:val="Grid Table 4 - Accent 6"/>
    <w:basedOn w:val="8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6">
    <w:name w:val="Grid Table 5 Dark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7">
    <w:name w:val="Grid Table 5 Dark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0">
    <w:name w:val="Grid Table 5 Dark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91">
    <w:name w:val="Grid Table 5 Dark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92">
    <w:name w:val="Grid Table 5 Dark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93">
    <w:name w:val="Grid Table 6 Colorful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4">
    <w:name w:val="Grid Table 6 Colorful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5">
    <w:name w:val="Grid Table 6 Colorful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6">
    <w:name w:val="Grid Table 6 Colorful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7">
    <w:name w:val="Grid Table 6 Colorful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8">
    <w:name w:val="Grid Table 6 Colorful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6 Colorful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7 Colorful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5">
    <w:name w:val="List Table 2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6">
    <w:name w:val="List Table 2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7">
    <w:name w:val="List Table 2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8">
    <w:name w:val="List Table 2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9">
    <w:name w:val="List Table 2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0">
    <w:name w:val="List Table 2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1">
    <w:name w:val="List Table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6 Colorful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3">
    <w:name w:val="List Table 6 Colorful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4">
    <w:name w:val="List Table 6 Colorful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5">
    <w:name w:val="List Table 6 Colorful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6">
    <w:name w:val="List Table 6 Colorful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7">
    <w:name w:val="List Table 6 Colorful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8">
    <w:name w:val="List Table 6 Colorful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9">
    <w:name w:val="List Table 7 Colorful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0">
    <w:name w:val="List Table 7 Colorful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1">
    <w:name w:val="List Table 7 Colorful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2">
    <w:name w:val="List Table 7 Colorful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3">
    <w:name w:val="List Table 7 Colorful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4">
    <w:name w:val="List Table 7 Colorful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5">
    <w:name w:val="List Table 7 Colorful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6">
    <w:name w:val="Lined - Accent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Lined - Accent 1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8">
    <w:name w:val="Lined - Accent 2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9">
    <w:name w:val="Lined - Accent 3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0">
    <w:name w:val="Lined - Accent 4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1">
    <w:name w:val="Lined - Accent 5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2">
    <w:name w:val="Lined - Accent 6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3">
    <w:name w:val="Bordered &amp; Lined - Accent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4">
    <w:name w:val="Bordered &amp; Lined - Accent 1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5">
    <w:name w:val="Bordered &amp; Lined - Accent 2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6">
    <w:name w:val="Bordered &amp; Lined - Accent 3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7">
    <w:name w:val="Bordered &amp; Lined - Accent 4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8">
    <w:name w:val="Bordered &amp; Lined - Accent 5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9">
    <w:name w:val="Bordered &amp; Lined - Accent 6"/>
    <w:basedOn w:val="8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0">
    <w:name w:val="Bordered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71">
    <w:name w:val="Bordered - Accent 1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72">
    <w:name w:val="Bordered - Accent 2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3">
    <w:name w:val="Bordered - Accent 3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4">
    <w:name w:val="Bordered - Accent 4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5">
    <w:name w:val="Bordered - Accent 5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6">
    <w:name w:val="Bordered - Accent 6"/>
    <w:basedOn w:val="8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895"/>
    <w:link w:val="879"/>
    <w:uiPriority w:val="99"/>
    <w:semiHidden/>
    <w:unhideWhenUsed/>
    <w:rPr>
      <w:sz w:val="18"/>
    </w:rPr>
    <w:pPr>
      <w:spacing w:lineRule="auto" w:line="240" w:after="40"/>
    </w:pPr>
  </w:style>
  <w:style w:type="character" w:styleId="879">
    <w:name w:val="Footnote Text Char"/>
    <w:link w:val="878"/>
    <w:uiPriority w:val="99"/>
    <w:rPr>
      <w:sz w:val="18"/>
    </w:rPr>
  </w:style>
  <w:style w:type="character" w:styleId="880">
    <w:name w:val="footnote reference"/>
    <w:basedOn w:val="896"/>
    <w:uiPriority w:val="99"/>
    <w:unhideWhenUsed/>
    <w:rPr>
      <w:vertAlign w:val="superscript"/>
    </w:rPr>
  </w:style>
  <w:style w:type="paragraph" w:styleId="881">
    <w:name w:val="endnote text"/>
    <w:basedOn w:val="895"/>
    <w:link w:val="882"/>
    <w:uiPriority w:val="99"/>
    <w:semiHidden/>
    <w:unhideWhenUsed/>
    <w:rPr>
      <w:sz w:val="20"/>
    </w:rPr>
    <w:pPr>
      <w:spacing w:lineRule="auto" w:line="240" w:after="0"/>
    </w:pPr>
  </w:style>
  <w:style w:type="character" w:styleId="882">
    <w:name w:val="Endnote Text Char"/>
    <w:link w:val="881"/>
    <w:uiPriority w:val="99"/>
    <w:rPr>
      <w:sz w:val="20"/>
    </w:rPr>
  </w:style>
  <w:style w:type="character" w:styleId="883">
    <w:name w:val="endnote reference"/>
    <w:basedOn w:val="896"/>
    <w:uiPriority w:val="99"/>
    <w:semiHidden/>
    <w:unhideWhenUsed/>
    <w:rPr>
      <w:vertAlign w:val="superscript"/>
    </w:rPr>
  </w:style>
  <w:style w:type="paragraph" w:styleId="884">
    <w:name w:val="toc 1"/>
    <w:basedOn w:val="895"/>
    <w:next w:val="895"/>
    <w:uiPriority w:val="39"/>
    <w:unhideWhenUsed/>
    <w:pPr>
      <w:ind w:left="0" w:right="0" w:firstLine="0"/>
      <w:spacing w:after="57"/>
    </w:pPr>
  </w:style>
  <w:style w:type="paragraph" w:styleId="885">
    <w:name w:val="toc 2"/>
    <w:basedOn w:val="895"/>
    <w:next w:val="895"/>
    <w:uiPriority w:val="39"/>
    <w:unhideWhenUsed/>
    <w:pPr>
      <w:ind w:left="283" w:right="0" w:firstLine="0"/>
      <w:spacing w:after="57"/>
    </w:pPr>
  </w:style>
  <w:style w:type="paragraph" w:styleId="886">
    <w:name w:val="toc 3"/>
    <w:basedOn w:val="895"/>
    <w:next w:val="895"/>
    <w:uiPriority w:val="39"/>
    <w:unhideWhenUsed/>
    <w:pPr>
      <w:ind w:left="567" w:right="0" w:firstLine="0"/>
      <w:spacing w:after="57"/>
    </w:pPr>
  </w:style>
  <w:style w:type="paragraph" w:styleId="887">
    <w:name w:val="toc 4"/>
    <w:basedOn w:val="895"/>
    <w:next w:val="895"/>
    <w:uiPriority w:val="39"/>
    <w:unhideWhenUsed/>
    <w:pPr>
      <w:ind w:left="850" w:right="0" w:firstLine="0"/>
      <w:spacing w:after="57"/>
    </w:pPr>
  </w:style>
  <w:style w:type="paragraph" w:styleId="888">
    <w:name w:val="toc 5"/>
    <w:basedOn w:val="895"/>
    <w:next w:val="895"/>
    <w:uiPriority w:val="39"/>
    <w:unhideWhenUsed/>
    <w:pPr>
      <w:ind w:left="1134" w:right="0" w:firstLine="0"/>
      <w:spacing w:after="57"/>
    </w:pPr>
  </w:style>
  <w:style w:type="paragraph" w:styleId="889">
    <w:name w:val="toc 6"/>
    <w:basedOn w:val="895"/>
    <w:next w:val="895"/>
    <w:uiPriority w:val="39"/>
    <w:unhideWhenUsed/>
    <w:pPr>
      <w:ind w:left="1417" w:right="0" w:firstLine="0"/>
      <w:spacing w:after="57"/>
    </w:pPr>
  </w:style>
  <w:style w:type="paragraph" w:styleId="890">
    <w:name w:val="toc 7"/>
    <w:basedOn w:val="895"/>
    <w:next w:val="895"/>
    <w:uiPriority w:val="39"/>
    <w:unhideWhenUsed/>
    <w:pPr>
      <w:ind w:left="1701" w:right="0" w:firstLine="0"/>
      <w:spacing w:after="57"/>
    </w:pPr>
  </w:style>
  <w:style w:type="paragraph" w:styleId="891">
    <w:name w:val="toc 8"/>
    <w:basedOn w:val="895"/>
    <w:next w:val="895"/>
    <w:uiPriority w:val="39"/>
    <w:unhideWhenUsed/>
    <w:pPr>
      <w:ind w:left="1984" w:right="0" w:firstLine="0"/>
      <w:spacing w:after="57"/>
    </w:pPr>
  </w:style>
  <w:style w:type="paragraph" w:styleId="892">
    <w:name w:val="toc 9"/>
    <w:basedOn w:val="895"/>
    <w:next w:val="895"/>
    <w:uiPriority w:val="39"/>
    <w:unhideWhenUsed/>
    <w:pPr>
      <w:ind w:left="2268" w:right="0" w:firstLine="0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895"/>
    <w:next w:val="895"/>
    <w:uiPriority w:val="99"/>
    <w:unhideWhenUsed/>
    <w:pPr>
      <w:spacing w:after="0" w:afterAutospacing="0"/>
    </w:pPr>
  </w:style>
  <w:style w:type="paragraph" w:styleId="895" w:default="1">
    <w:name w:val="Normal"/>
    <w:qFormat/>
    <w:rPr>
      <w:rFonts w:ascii="Calibri" w:hAnsi="Calibri" w:cs="Times New Roman" w:eastAsia="Calibri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6" w:default="1">
    <w:name w:val="Default Paragraph Font"/>
    <w:uiPriority w:val="1"/>
    <w:semiHidden/>
    <w:unhideWhenUsed/>
  </w:style>
  <w:style w:type="table" w:styleId="8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8" w:default="1">
    <w:name w:val="No List"/>
    <w:uiPriority w:val="99"/>
    <w:semiHidden/>
    <w:unhideWhenUsed/>
  </w:style>
  <w:style w:type="paragraph" w:styleId="899">
    <w:name w:val="Header"/>
    <w:basedOn w:val="895"/>
    <w:link w:val="90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0" w:customStyle="1">
    <w:name w:val="Верхний колонтитул Знак"/>
    <w:basedOn w:val="896"/>
    <w:link w:val="899"/>
    <w:uiPriority w:val="99"/>
    <w:rPr>
      <w:rFonts w:ascii="Calibri" w:hAnsi="Calibri" w:cs="Times New Roman" w:eastAsia="Calibri"/>
      <w:sz w:val="20"/>
      <w:lang w:bidi="en-US"/>
    </w:rPr>
  </w:style>
  <w:style w:type="paragraph" w:styleId="901">
    <w:name w:val="Footer"/>
    <w:basedOn w:val="895"/>
    <w:link w:val="90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2" w:customStyle="1">
    <w:name w:val="Нижний колонтитул Знак"/>
    <w:basedOn w:val="896"/>
    <w:link w:val="901"/>
    <w:uiPriority w:val="99"/>
    <w:rPr>
      <w:rFonts w:ascii="Calibri" w:hAnsi="Calibri" w:cs="Times New Roman" w:eastAsia="Calibri"/>
      <w:sz w:val="20"/>
      <w:lang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865B3C-C517-469F-8D9D-B870C097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Adminov Admin </cp:lastModifiedBy>
  <cp:revision>30</cp:revision>
  <dcterms:created xsi:type="dcterms:W3CDTF">2021-11-02T13:16:00Z</dcterms:created>
  <dcterms:modified xsi:type="dcterms:W3CDTF">2021-12-15T16:35:26Z</dcterms:modified>
</cp:coreProperties>
</file>