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right="0" w:firstLine="0"/>
        <w:jc w:val="both"/>
        <w:rPr>
          <w:rFonts w:ascii="Times New Roman" w:hAnsi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Додаток</w:t>
      </w:r>
      <w:r>
        <w:rPr>
          <w:sz w:val="28"/>
        </w:rPr>
      </w:r>
      <w:r/>
    </w:p>
    <w:p>
      <w:pPr>
        <w:ind w:left="5386" w:right="0" w:firstLine="0"/>
        <w:jc w:val="both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до </w:t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рішення 15 сесії  Менської міської ради 8 скликання</w:t>
      </w:r>
      <w:r/>
    </w:p>
    <w:p>
      <w:pPr>
        <w:ind w:left="5386" w:right="0" w:firstLine="0"/>
        <w:jc w:val="both"/>
        <w:tabs>
          <w:tab w:val="left" w:pos="6236" w:leader="none"/>
        </w:tabs>
        <w:rPr>
          <w:rFonts w:ascii="Times New Roman" w:hAnsi="Times New Roman" w:cs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09 грудня 2021 року №</w:t>
      </w: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792</w:t>
      </w:r>
      <w:r>
        <w:rPr>
          <w:sz w:val="28"/>
        </w:rPr>
      </w:r>
      <w:r/>
    </w:p>
    <w:tbl>
      <w:tblPr>
        <w:tblpPr w:horzAnchor="margin" w:tblpXSpec="left" w:vertAnchor="text" w:tblpY="290" w:leftFromText="180" w:topFromText="0" w:rightFromText="180" w:bottomFromText="0"/>
        <w:tblW w:w="9606" w:type="dxa"/>
        <w:tblLook w:val="01E0" w:firstRow="1" w:lastRow="1" w:firstColumn="1" w:lastColumn="1" w:noHBand="0" w:noVBand="0"/>
      </w:tblPr>
      <w:tblGrid>
        <w:gridCol w:w="4219"/>
        <w:gridCol w:w="851"/>
        <w:gridCol w:w="4536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21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536" w:type="dxa"/>
            <w:textDirection w:val="lrTb"/>
            <w:noWrap w:val="false"/>
          </w:tcPr>
          <w:p>
            <w:pPr>
              <w:ind w:left="167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left"/>
        <w:rPr>
          <w:rFonts w:ascii="Times New Roman" w:hAnsi="Times New Roman" w:eastAsia="TimesNewRomanPSMT"/>
          <w:b/>
          <w:color w:val="000000"/>
          <w:sz w:val="28"/>
          <w:szCs w:val="28"/>
        </w:rPr>
      </w:pPr>
      <w:r>
        <w:rPr>
          <w:rFonts w:ascii="Times New Roman" w:hAnsi="Times New Roman" w:eastAsia="TimesNewRomanPSMT"/>
          <w:b/>
          <w:color w:val="000000"/>
          <w:sz w:val="28"/>
          <w:szCs w:val="28"/>
        </w:rPr>
      </w:r>
      <w:r>
        <w:rPr>
          <w:rFonts w:ascii="Times New Roman" w:hAnsi="Times New Roman" w:eastAsia="TimesNewRomanPSMT"/>
          <w:b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eastAsia="TimesNewRomanPSMT"/>
          <w:b/>
          <w:color w:val="000000"/>
          <w:sz w:val="28"/>
          <w:szCs w:val="28"/>
        </w:rPr>
      </w:pPr>
      <w:r>
        <w:rPr>
          <w:rFonts w:ascii="Times New Roman" w:hAnsi="Times New Roman" w:eastAsia="TimesNewRomanPSMT"/>
          <w:b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eastAsia="TimesNewRomanPSMT"/>
          <w:b/>
          <w:color w:val="000000"/>
          <w:sz w:val="28"/>
          <w:szCs w:val="28"/>
        </w:rPr>
      </w:pPr>
      <w:r>
        <w:rPr>
          <w:rFonts w:ascii="Times New Roman" w:hAnsi="Times New Roman" w:eastAsia="TimesNewRomanPSMT"/>
          <w:b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eastAsia="TimesNewRomanPSMT"/>
          <w:b/>
          <w:color w:val="000000"/>
          <w:sz w:val="28"/>
          <w:szCs w:val="28"/>
        </w:rPr>
      </w:pPr>
      <w:r>
        <w:rPr>
          <w:rFonts w:ascii="Times New Roman" w:hAnsi="Times New Roman" w:eastAsia="TimesNewRomanPSMT"/>
          <w:b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eastAsia="TimesNewRomanPSMT"/>
          <w:b/>
          <w:color w:val="000000"/>
          <w:sz w:val="28"/>
          <w:szCs w:val="28"/>
        </w:rPr>
      </w:pPr>
      <w:r>
        <w:rPr>
          <w:rFonts w:ascii="Times New Roman" w:hAnsi="Times New Roman" w:eastAsia="TimesNewRomanPSMT"/>
          <w:b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eastAsia="TimesNewRomanPSMT"/>
          <w:b/>
          <w:color w:val="000000"/>
          <w:sz w:val="28"/>
          <w:szCs w:val="28"/>
        </w:rPr>
      </w:pPr>
      <w:r>
        <w:rPr>
          <w:rFonts w:ascii="Times New Roman" w:hAnsi="Times New Roman" w:eastAsia="TimesNewRomanPSMT"/>
          <w:b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eastAsia="TimesNewRomanPSMT"/>
          <w:b/>
          <w:color w:val="000000"/>
          <w:sz w:val="28"/>
          <w:szCs w:val="28"/>
        </w:rPr>
      </w:pPr>
      <w:r>
        <w:rPr>
          <w:rFonts w:ascii="Times New Roman" w:hAnsi="Times New Roman" w:eastAsia="TimesNewRomanPSMT"/>
          <w:b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eastAsia="TimesNewRomanPSMT"/>
          <w:b/>
          <w:color w:val="000000"/>
          <w:sz w:val="40"/>
          <w:szCs w:val="40"/>
        </w:rPr>
      </w:pPr>
      <w:r>
        <w:rPr>
          <w:rFonts w:ascii="Times New Roman" w:hAnsi="Times New Roman" w:eastAsia="TimesNewRomanPSMT"/>
          <w:b/>
          <w:color w:val="000000" w:themeColor="text1"/>
          <w:sz w:val="40"/>
          <w:szCs w:val="40"/>
          <w:lang w:eastAsia="ru-RU"/>
        </w:rPr>
        <w:t xml:space="preserve">ПРОГРАМА</w:t>
      </w:r>
      <w:r/>
    </w:p>
    <w:p>
      <w:pPr>
        <w:contextualSpacing w:val="true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NewRomanPSMT"/>
          <w:b/>
          <w:color w:val="000000"/>
          <w:sz w:val="40"/>
          <w:szCs w:val="40"/>
        </w:rPr>
      </w:pPr>
      <w:r>
        <w:rPr>
          <w:rFonts w:ascii="Times New Roman" w:hAnsi="Times New Roman" w:eastAsia="TimesNewRomanPSMT"/>
          <w:b/>
          <w:color w:val="000000" w:themeColor="text1"/>
          <w:sz w:val="40"/>
          <w:szCs w:val="40"/>
        </w:rPr>
        <w:t xml:space="preserve">ЦІЛЬОВОГО ВИКОРИСТАННЯ КОШТІВ, ЩО НАДХОДЯТЬ У ПОРЯДКУ ВІДШКОДУВАННЯ ВТРАТ СІЛЬСЬКОГОСПОДАРСЬКОГО І ЛІСОГОСПОДАРСЬКОГО ВИРОБНИЦТВА НА ТЕРИТОРІЇ </w:t>
      </w:r>
      <w:r>
        <w:rPr>
          <w:rFonts w:ascii="Times New Roman" w:hAnsi="Times New Roman" w:eastAsia="TimesNewRomanPSMT"/>
          <w:b/>
          <w:color w:val="000000" w:themeColor="text1"/>
          <w:sz w:val="40"/>
          <w:szCs w:val="40"/>
        </w:rPr>
        <w:t xml:space="preserve">МЕНСЬКОЇ МІСЬКОЇ  ТЕРИТОРІАЛЬНОЇ ГРОМАДИ</w:t>
      </w:r>
      <w:r/>
    </w:p>
    <w:p>
      <w:pPr>
        <w:contextualSpacing w:val="true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NewRomanPSMT"/>
          <w:b/>
          <w:color w:val="000000"/>
          <w:sz w:val="40"/>
          <w:szCs w:val="40"/>
        </w:rPr>
      </w:pPr>
      <w:r>
        <w:rPr>
          <w:rFonts w:ascii="Times New Roman" w:hAnsi="Times New Roman" w:eastAsia="TimesNewRomanPSMT"/>
          <w:b/>
          <w:color w:val="000000" w:themeColor="text1"/>
          <w:sz w:val="40"/>
          <w:szCs w:val="40"/>
        </w:rPr>
        <w:t xml:space="preserve"> НА </w:t>
      </w:r>
      <w:r>
        <w:rPr>
          <w:rFonts w:ascii="Times New Roman" w:hAnsi="Times New Roman" w:eastAsia="TimesNewRomanPSMT"/>
          <w:b/>
          <w:sz w:val="40"/>
          <w:szCs w:val="40"/>
        </w:rPr>
        <w:t xml:space="preserve">2022-2025 </w:t>
      </w:r>
      <w:r>
        <w:rPr>
          <w:rFonts w:ascii="Times New Roman" w:hAnsi="Times New Roman" w:eastAsia="TimesNewRomanPSMT"/>
          <w:b/>
          <w:color w:val="000000" w:themeColor="text1"/>
          <w:sz w:val="40"/>
          <w:szCs w:val="40"/>
        </w:rPr>
        <w:t xml:space="preserve">РОКИ</w:t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eastAsia="Times New Roman"/>
          <w:b/>
          <w:bCs/>
          <w:color w:val="000000"/>
          <w:sz w:val="40"/>
          <w:szCs w:val="40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  <w:lang w:eastAsia="ru-RU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3"/>
          <w:szCs w:val="23"/>
          <w:lang w:eastAsia="ru-RU"/>
        </w:rPr>
        <w:t xml:space="preserve">Мена </w:t>
      </w:r>
      <w:r>
        <w:rPr>
          <w:rFonts w:ascii="Times New Roman" w:hAnsi="Times New Roman" w:eastAsia="Times New Roman"/>
          <w:b/>
          <w:bCs/>
          <w:sz w:val="23"/>
          <w:szCs w:val="23"/>
          <w:lang w:eastAsia="ru-RU"/>
        </w:rPr>
        <w:t xml:space="preserve">2021</w:t>
      </w:r>
      <w:r/>
    </w:p>
    <w:p>
      <w:pPr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  <w:t xml:space="preserve">І. ПАСПОРТ ПРОГРАМИ </w:t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eastAsia="Times New Roman"/>
          <w:b/>
          <w:bCs/>
          <w:color w:val="000000"/>
          <w:sz w:val="23"/>
          <w:szCs w:val="23"/>
        </w:rPr>
      </w:r>
      <w:r/>
    </w:p>
    <w:tbl>
      <w:tblPr>
        <w:tblW w:w="5108" w:type="pct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5594"/>
      </w:tblGrid>
      <w:tr>
        <w:trPr>
          <w:trHeight w:val="67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" w:name="23"/>
            <w:r/>
            <w:bookmarkEnd w:id="1"/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Назва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2" w:name="24"/>
            <w:r/>
            <w:bookmarkStart w:id="3" w:name="21"/>
            <w:r/>
            <w:bookmarkEnd w:id="2"/>
            <w:r/>
            <w:bookmarkEnd w:id="3"/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Програма цільового використання коштів, що надходять у порядку відшкодування втрат сільськогосподарського і лісогосподарського виробництва на території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Менської міської  територіальної громади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 на 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2022-2025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роки (далі Програма)</w:t>
            </w:r>
            <w:r/>
          </w:p>
        </w:tc>
      </w:tr>
      <w:tr>
        <w:trPr>
          <w:trHeight w:val="67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i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Підстава для розроблення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Ст.ст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. 207-209 Земельного Кодексу України, Бюджетний  кодекс України, постанова Кабінету Міністрів України від 17.11.1997 року № 1279 «Про розміри та Порядок визначення втрат сільськогосподарського і лісогосподарського виробництва, які підлягають відшкодуванню»</w:t>
            </w:r>
            <w:r/>
          </w:p>
        </w:tc>
      </w:tr>
      <w:tr>
        <w:trPr>
          <w:trHeight w:val="67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Основні цілі Програми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Головною метою програми є забезпечення використання коштів, які надходять у порядку відшкодування втрат сільськогосподарського і лісогосподарського виробництва, виключно на потреби визначені ст.209 Зе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мельного Кодексу України, а саме на освоєння земель для сільськогосподарських і лісогосподарських потреб, поліпшення відповідних угідь, охорону земель, відповідно до розроблених програм та проектів землеустрою, а також, на проведення інвентаризації земель.</w:t>
            </w:r>
            <w:r/>
          </w:p>
        </w:tc>
      </w:tr>
      <w:tr>
        <w:trPr>
          <w:trHeight w:val="67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Ініціатор розроблення Програми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 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Відділ земельних відносин, агропромислового комплексу та екології Менської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міської ради </w:t>
            </w:r>
            <w: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4" w:name="25"/>
            <w:r/>
            <w:bookmarkStart w:id="5" w:name="28"/>
            <w:r/>
            <w:bookmarkEnd w:id="4"/>
            <w:r/>
            <w:bookmarkEnd w:id="5"/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6" w:name="29"/>
            <w:r/>
            <w:bookmarkEnd w:id="6"/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Розробник Програми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 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7" w:name="30"/>
            <w:r/>
            <w:bookmarkEnd w:id="7"/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Відділ земельних відносин, агропромислового комплексу та екології Менської міської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ради </w:t>
            </w:r>
            <w:r/>
          </w:p>
        </w:tc>
      </w:tr>
      <w:tr>
        <w:trPr>
          <w:trHeight w:val="31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r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i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Співрозробники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 Програми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 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8" w:name="31"/>
            <w:r/>
            <w:bookmarkEnd w:id="8"/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9" w:name="32"/>
            <w:r/>
            <w:bookmarkEnd w:id="9"/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Відповідальний виконавець Програми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 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Відділ земельних відносин, </w:t>
            </w: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агропромислового комплексу та екології Менської міської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ради </w:t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0" w:name="34"/>
            <w:r/>
            <w:bookmarkEnd w:id="10"/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1" w:name="35"/>
            <w:r/>
            <w:bookmarkEnd w:id="11"/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Учасники Програми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 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Менська міська рада, засоби масової інформації</w:t>
            </w:r>
            <w:r/>
          </w:p>
        </w:tc>
      </w:tr>
      <w:tr>
        <w:trPr>
          <w:trHeight w:val="409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2" w:name="37"/>
            <w:r/>
            <w:bookmarkEnd w:id="12"/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3" w:name="38"/>
            <w:r/>
            <w:bookmarkEnd w:id="13"/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Термін реалізації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 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sz w:val="25"/>
                <w:szCs w:val="25"/>
                <w:lang w:eastAsia="ru-RU"/>
              </w:rPr>
              <w:t xml:space="preserve">2022-2025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роки </w:t>
            </w:r>
            <w:r/>
          </w:p>
        </w:tc>
      </w:tr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4" w:name="40"/>
            <w:r/>
            <w:bookmarkEnd w:id="14"/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5" w:name="41"/>
            <w:r/>
            <w:bookmarkEnd w:id="15"/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Перелік місцевих бюджетів, які беруть участь у виконанні Програми (для комплексних Програм)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 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eastAsia="Times New Roman"/>
                <w:i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Менської міської  територіальної громади </w:t>
            </w:r>
            <w:r/>
          </w:p>
        </w:tc>
      </w:tr>
      <w:tr>
        <w:trPr>
          <w:trHeight w:val="932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129" w:before="129"/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6" w:name="43"/>
            <w:r/>
            <w:bookmarkStart w:id="17" w:name="46"/>
            <w:r/>
            <w:bookmarkEnd w:id="16"/>
            <w:r/>
            <w:bookmarkEnd w:id="17"/>
            <w:r/>
            <w:r/>
          </w:p>
        </w:tc>
        <w:tc>
          <w:tcPr>
            <w:tcW w:w="36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8" w:name="47"/>
            <w:r/>
            <w:bookmarkEnd w:id="18"/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 xml:space="preserve">Загальний обсяг фінансових ресурсів, необхідних для реалізації Програми, всього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 </w:t>
            </w:r>
            <w:r/>
          </w:p>
        </w:tc>
        <w:tc>
          <w:tcPr>
            <w:tcW w:w="559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000000"/>
                <w:sz w:val="25"/>
                <w:szCs w:val="25"/>
              </w:rPr>
            </w:pPr>
            <w:r/>
            <w:bookmarkStart w:id="19" w:name="467"/>
            <w:r/>
            <w:bookmarkEnd w:id="19"/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val="ru-RU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eastAsia="ru-RU"/>
              </w:rPr>
              <w:t xml:space="preserve">000 000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5"/>
                <w:szCs w:val="25"/>
                <w:lang w:val="ru-RU" w:eastAsia="ru-RU"/>
              </w:rPr>
              <w:t xml:space="preserve">грн</w:t>
            </w:r>
            <w:r/>
          </w:p>
        </w:tc>
      </w:tr>
    </w:tbl>
    <w:p>
      <w:pPr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  <w:r/>
    </w:p>
    <w:p>
      <w:pPr>
        <w:rPr>
          <w:rFonts w:ascii="Times New Roman" w:hAnsi="Times New Roman" w:eastAsia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aps/>
          <w:color w:val="000000" w:themeColor="text1"/>
          <w:sz w:val="28"/>
          <w:szCs w:val="28"/>
          <w:lang w:eastAsia="ru-RU"/>
        </w:rPr>
        <w:br w:type="page"/>
      </w:r>
      <w:r/>
    </w:p>
    <w:p>
      <w:pPr>
        <w:jc w:val="center"/>
        <w:rPr>
          <w:rFonts w:ascii="Times New Roman" w:hAnsi="Times New Roman" w:eastAsia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І.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Загальні положення</w:t>
      </w:r>
      <w:r/>
    </w:p>
    <w:p>
      <w:pPr>
        <w:ind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Програму цільового використання коштів, що надходять у порядку відшкодування втрат сільськогосподарського і лісогосподарського виробництва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2022-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2025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роки, розроблено відповідно до вимог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ст.ст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. 207-209 Земельно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го Кодексу України, Бюджетного кодексу України та з врахуванням постанови Кабінету Міністрів України від 17.11.1997 року № 1279 «Про розміри та Порядок визначення втрат сільськогосподарського і лісогосподарського виробництва, які підлягають відшкодуванню».</w:t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ІІ. Мета програми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Головною метою програми (в разі надходження коштів від втрат сільськогосподарського і лісогосподарського виробництва)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є виконання   ст. 209 Земельного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Кодексу України, а також освоєння земель дл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я сільськогосподарських і лісогосподарських потреб, поліпшення відповідних угідь, охорону земель, їх інвентаризацію та збереження екологічного балансу території. Використання цих коштів на інші цілі не допускається.</w:t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ІІІ. Механізми забезпечення виконання Програми</w:t>
      </w:r>
      <w:r/>
    </w:p>
    <w:p>
      <w:pPr>
        <w:ind w:firstLine="567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Нормативно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-правове забезпечення Програми</w:t>
      </w:r>
      <w:r/>
    </w:p>
    <w:p>
      <w:pPr>
        <w:ind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Для забезпечення реалізації Програми приймаються відповідні рішення Менською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міською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радою, з питань схвалення Програми на рівні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Менської міської територіальної громади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; забезпечення щорічних видатків місцевого бюджету на виконання заходів програми; координації та контролю за виконанням заходів програми тощо.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4"/>
        </w:rPr>
      </w:pP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Програму цільового використання коштів, що надходять у порядку відшкодування втрат сільськогосподарського і лісогосподарського виробництва,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color w:val="FF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2022-2025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роки, </w:t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розроблено відповідно до вимог </w:t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ст.ст</w:t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. 207-209 Земельно</w:t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го Кодексу України,</w:t>
      </w:r>
      <w:r>
        <w:rPr>
          <w:rFonts w:ascii="Times New Roman" w:hAnsi="Times New Roman" w:eastAsia="Times New Roman"/>
          <w:sz w:val="28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4"/>
          <w:lang w:eastAsia="ru-RU"/>
        </w:rPr>
        <w:t xml:space="preserve"> Бюджетного кодексу України та з врахуванням постанови Кабінету Міністрів України від 17.11.1997 року № 1279 «Про розміри та Порядок визначення втрат сільськогосподарського і лісогосподарського виробництва, які підлягають відшкодуванню» </w:t>
      </w:r>
      <w:r/>
    </w:p>
    <w:p>
      <w:pPr>
        <w:ind w:firstLine="567"/>
        <w:jc w:val="both"/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2. Фінансове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забезпечення Програми</w:t>
      </w:r>
      <w:r/>
    </w:p>
    <w:p>
      <w:pPr>
        <w:ind w:firstLine="567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Програма фінансується в межах надходження коштів, перерахованих в порядку від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шкодування втрат сільськогосподарського та лісогосподарського виробництва за окремим кошторисом.</w:t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Витрачання коштів на інші цілі забороняється.</w:t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Основні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заходи передбачені Програмою та обсяги фінансування наведені в додатку 1 та 2  (додатки додаються).</w:t>
      </w:r>
      <w:r/>
    </w:p>
    <w:p>
      <w:pPr>
        <w:ind w:firstLine="567"/>
        <w:jc w:val="both"/>
        <w:rPr>
          <w:rFonts w:ascii="Times New Roman" w:hAnsi="Times New Roman" w:eastAsia="Times New Roman"/>
          <w:b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eastAsia="ru-RU"/>
        </w:rPr>
        <w:t xml:space="preserve"> Основні напрямки цільового використання коштів, що надходять у порядку відшкодування втрат сільськогосподарського і лісогосподарського виробництва</w:t>
      </w:r>
      <w:r/>
    </w:p>
    <w:p>
      <w:pPr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Фінансування ґрунтозахисних заходів відповідно до діючого законодавства здійснює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ться за рахунок коштів, що надходять у порядку відшкодування втрат сільськогосподарського і лісогосподарського виробництва до місцевого бюджету.</w:t>
      </w:r>
      <w:r>
        <w:rPr>
          <w:rFonts w:ascii="Times New Roman" w:hAnsi="Times New Roman" w:eastAsia="Times New Roman"/>
          <w:sz w:val="28"/>
          <w:lang w:eastAsia="ru-RU"/>
        </w:rPr>
      </w:r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Основними напрямками цільового використання коштів, що надходять у порядку відшкодування втрат сільськогосподарського і лісогосподарського виробн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ицтва є:</w:t>
      </w:r>
      <w:r/>
    </w:p>
    <w:p>
      <w:pPr>
        <w:numPr>
          <w:ilvl w:val="0"/>
          <w:numId w:val="2"/>
        </w:numPr>
        <w:ind w:left="0" w:firstLine="567"/>
        <w:jc w:val="both"/>
        <w:tabs>
          <w:tab w:val="left" w:pos="992" w:leader="none"/>
        </w:tabs>
        <w:rPr>
          <w:rFonts w:ascii="Times New Roman" w:hAnsi="Times New Roman" w:eastAsia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/>
          <w:i/>
          <w:color w:val="000000" w:themeColor="text1"/>
          <w:sz w:val="28"/>
          <w:szCs w:val="28"/>
          <w:shd w:val="clear" w:fill="FFFFFF" w:color="auto"/>
          <w:lang w:eastAsia="ru-RU"/>
        </w:rPr>
        <w:t xml:space="preserve">Освоєння </w:t>
      </w:r>
      <w:r>
        <w:rPr>
          <w:rFonts w:ascii="Times New Roman" w:hAnsi="Times New Roman" w:eastAsia="Times New Roman"/>
          <w:i/>
          <w:color w:val="000000" w:themeColor="text1"/>
          <w:sz w:val="28"/>
          <w:szCs w:val="28"/>
          <w:shd w:val="clear" w:fill="FFFFFF" w:color="auto"/>
          <w:lang w:eastAsia="ru-RU"/>
        </w:rPr>
        <w:t xml:space="preserve">земель для сільськогосподарських і лісогосподарських потреб, поліпшення відповідних угідь.</w:t>
      </w:r>
      <w:r/>
    </w:p>
    <w:p>
      <w:pPr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Роботи можуть включати: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а) освоєння боліт,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мілководь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водоймищ, чагарників, лісів, кам'янистих місць, солонців і солончаків, ділянок, що вивільняються з-під господарських дворів, садиб тощо, та інших непродуктивних земель у сільськогосподарські угіддя або для створення лісових насаджень;</w:t>
      </w:r>
      <w: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розчистка земельних ділянок сільськогосподарського призначення від самосійної дерев’яної рослинності та порослі з метою приведення цих ділянок у стан, придатний для використання їх за цільовим призначенням.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б) засипка та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виположування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ярів, освоєння селевих земель під багаторічні насадження та кормові угіддя, будівництво комплексу гідротехнічних споруд для захисту земель від ерозії, підтоплення, зсувів тощо та під'їзних схилів до земельних ділянок, що освоюються;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в) хімічна меліорація, залуження багаторічними травами еродованої та забрудненої шкідливими речовинами ріллі, посів сільгоспкультур на ділянках біологічної рекультивації земель, проведення інших робіт з освоєння нових земель і підвищення їх родючості;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г) будівництво і реконструкція зрошувальних систем з джерелами зрошення, осушувальних систем, захист сільгоспугідь і лісових насаджень від підтоплення і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висушення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розкорчовка списаних лісових і багаторічних плодових насаджень;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д) проведення топографо-геодезичних, ґрунтових, геоботанічних та інших обстежень і розвідок, а також проектних робіт, пов'язаних з освоєнням нових земель та підвищенням їх родючості або поліпшенням наявних земель,  розробка проектів землеустрою з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контурно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-меліоративною організацією території, регіональних програм і схем з охорони земель.</w:t>
      </w:r>
      <w:r/>
    </w:p>
    <w:p>
      <w:pPr>
        <w:numPr>
          <w:ilvl w:val="0"/>
          <w:numId w:val="2"/>
        </w:numPr>
        <w:ind w:left="0" w:firstLine="567"/>
        <w:jc w:val="both"/>
        <w:tabs>
          <w:tab w:val="left" w:pos="992" w:leader="none"/>
        </w:tabs>
        <w:rPr>
          <w:rFonts w:ascii="Times New Roman" w:hAnsi="Times New Roman" w:eastAsia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/>
          <w:i/>
          <w:color w:val="000000" w:themeColor="text1"/>
          <w:sz w:val="28"/>
          <w:szCs w:val="28"/>
          <w:shd w:val="clear" w:fill="FFFFFF" w:color="auto"/>
          <w:lang w:eastAsia="ru-RU"/>
        </w:rPr>
        <w:t xml:space="preserve">Охорона земель відповідно до розроблених програм та проектів землеустрою.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Роботи з охорони земель включають протиерозійне будівництво, протизсувні роботи, корчування лісосмуг, рекультивація порушених земель.</w:t>
      </w:r>
      <w:r/>
    </w:p>
    <w:p>
      <w:pPr>
        <w:numPr>
          <w:ilvl w:val="0"/>
          <w:numId w:val="2"/>
        </w:numPr>
        <w:ind w:left="0" w:firstLine="567"/>
        <w:jc w:val="both"/>
        <w:tabs>
          <w:tab w:val="left" w:pos="992" w:leader="none"/>
        </w:tabs>
        <w:rPr>
          <w:rFonts w:ascii="Times New Roman" w:hAnsi="Times New Roman" w:eastAsia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/>
          <w:i/>
          <w:color w:val="000000" w:themeColor="text1"/>
          <w:sz w:val="28"/>
          <w:szCs w:val="28"/>
          <w:shd w:val="clear" w:fill="FFFFFF" w:color="auto"/>
          <w:lang w:eastAsia="ru-RU"/>
        </w:rPr>
        <w:t xml:space="preserve">Проведення </w:t>
      </w:r>
      <w:r>
        <w:rPr>
          <w:rFonts w:ascii="Times New Roman" w:hAnsi="Times New Roman" w:eastAsia="Times New Roman"/>
          <w:i/>
          <w:color w:val="000000" w:themeColor="text1"/>
          <w:sz w:val="28"/>
          <w:szCs w:val="28"/>
          <w:shd w:val="clear" w:fill="FFFFFF" w:color="auto"/>
          <w:lang w:eastAsia="ru-RU"/>
        </w:rPr>
        <w:t xml:space="preserve">інвентаризації земель.</w:t>
      </w:r>
      <w:r/>
    </w:p>
    <w:p>
      <w:pPr>
        <w:ind w:firstLine="567"/>
        <w:jc w:val="both"/>
        <w:rPr>
          <w:rFonts w:ascii="Times New Roman" w:hAnsi="Times New Roman" w:eastAsia="Times New Roman"/>
          <w:sz w:val="28"/>
          <w:szCs w:val="28"/>
          <w:shd w:val="clear" w:fill="FFFFFF" w:color="auto"/>
          <w:lang w:eastAsia="ru-RU"/>
        </w:rPr>
        <w:suppressLineNumbers w:val="0"/>
      </w:pPr>
      <w:r>
        <w:rPr>
          <w:rFonts w:ascii="Times New Roman" w:hAnsi="Times New Roman" w:eastAsia="Times New Roman"/>
          <w:color w:val="000000" w:themeColor="text1"/>
          <w:sz w:val="28"/>
          <w:szCs w:val="28"/>
          <w:shd w:val="clear" w:fill="FFFFFF" w:color="auto"/>
          <w:lang w:eastAsia="ru-RU"/>
        </w:rPr>
        <w:t xml:space="preserve">Оформлення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shd w:val="clear" w:fill="FFFFFF" w:color="auto"/>
          <w:lang w:eastAsia="ru-RU"/>
        </w:rPr>
        <w:t xml:space="preserve">земельних ділянок під сміттєзвалищами, кладовищами, об’єктами природо-заповідного фонду, громадськими пасовищами, </w:t>
      </w:r>
      <w:r>
        <w:rPr>
          <w:rFonts w:ascii="Times New Roman" w:hAnsi="Times New Roman" w:eastAsia="Times New Roman"/>
          <w:sz w:val="28"/>
          <w:szCs w:val="28"/>
          <w:shd w:val="clear" w:fill="FFFFFF" w:color="auto"/>
          <w:lang w:eastAsia="ru-RU"/>
        </w:rPr>
        <w:t xml:space="preserve">земель сільськогосподарського призначення тощо.</w:t>
      </w:r>
      <w:r/>
    </w:p>
    <w:p>
      <w:pPr>
        <w:numPr>
          <w:ilvl w:val="0"/>
          <w:numId w:val="2"/>
        </w:numPr>
        <w:ind w:left="0" w:firstLine="567"/>
        <w:jc w:val="both"/>
        <w:tabs>
          <w:tab w:val="left" w:pos="992" w:leader="none"/>
        </w:tabs>
        <w:rPr>
          <w:rFonts w:ascii="Times New Roman" w:hAnsi="Times New Roman" w:eastAsia="Times New Roman"/>
          <w:i/>
          <w:sz w:val="28"/>
          <w:szCs w:val="28"/>
          <w:shd w:val="clear" w:fill="FFFFFF" w:color="auto"/>
          <w:lang w:eastAsia="ru-RU"/>
        </w:rPr>
      </w:pPr>
      <w:r>
        <w:rPr>
          <w:rFonts w:ascii="Times New Roman" w:hAnsi="Times New Roman" w:eastAsia="Times New Roman"/>
          <w:i/>
          <w:color w:val="000000" w:themeColor="text1"/>
          <w:sz w:val="28"/>
          <w:szCs w:val="28"/>
          <w:shd w:val="clear" w:fill="FFFFFF" w:color="auto"/>
          <w:lang w:eastAsia="ru-RU"/>
        </w:rPr>
        <w:t xml:space="preserve">Проведення </w:t>
      </w:r>
      <w:r>
        <w:rPr>
          <w:rFonts w:ascii="Times New Roman" w:hAnsi="Times New Roman" w:eastAsia="Times New Roman"/>
          <w:i/>
          <w:sz w:val="28"/>
          <w:szCs w:val="28"/>
          <w:shd w:val="clear" w:fill="FFFFFF" w:color="auto"/>
          <w:lang w:eastAsia="ru-RU"/>
        </w:rPr>
        <w:t xml:space="preserve">нормативної грошової оцінки землі.</w:t>
      </w:r>
      <w:r/>
    </w:p>
    <w:p>
      <w:pPr>
        <w:ind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Виготовлення технічної документації з нормативної грошової оцінки земель у межах населених пунктів.</w:t>
      </w:r>
      <w:r/>
    </w:p>
    <w:p>
      <w:pPr>
        <w:pStyle w:val="904"/>
        <w:ind w:left="0"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Виготовлення технічної документації з нормативної грошової оцінки земельних ділянок несільськогосподарського призначення, розташованих за межами населених пунктів.</w:t>
      </w:r>
      <w:r/>
    </w:p>
    <w:p>
      <w:pPr>
        <w:pStyle w:val="904"/>
        <w:ind w:left="0"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Виготовлення технічної документації з нормативної грошової оцінки земельних ділянок сільськогосподарського призначення.</w:t>
      </w:r>
      <w:r/>
    </w:p>
    <w:p>
      <w:pPr>
        <w:pStyle w:val="904"/>
        <w:ind w:left="0" w:firstLine="567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ІV. Очікувані результати виконання Програми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Виконання цієї Програми дасть можливість використати кошти на проведе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ння робіт, визначених  розділом III цієї Програми. У випадку виконання заходів, передбачених Програмою, покращиться стан сільськогосподарських угідь та охорона земель.</w:t>
      </w:r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Хід виконання заходів Програми та ефективність її реалізації здійснює Менська міс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ька рада. </w:t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eastAsia="Lucida Sans Unicode"/>
          <w:b/>
          <w:color w:val="000000"/>
          <w:sz w:val="28"/>
          <w:szCs w:val="28"/>
        </w:rPr>
      </w:r>
      <w:r>
        <w:rPr>
          <w:rFonts w:ascii="Times New Roman" w:hAnsi="Times New Roman" w:eastAsia="Lucida Sans Unicode"/>
          <w:b/>
          <w:color w:val="000000"/>
          <w:sz w:val="28"/>
          <w:szCs w:val="28"/>
        </w:rPr>
      </w:r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</w:rPr>
        <w:t xml:space="preserve">Начальник  відділу земельних відносин,</w:t>
      </w:r>
      <w:r>
        <w:rPr>
          <w:rFonts w:ascii="Times New Roman" w:hAnsi="Times New Roman" w:eastAsia="Lucida Sans Unicode"/>
          <w:b w:val="false"/>
          <w:color w:val="000000"/>
          <w:sz w:val="28"/>
          <w:szCs w:val="28"/>
          <w:highlight w:val="none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 w:val="false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  <w:t xml:space="preserve">агропромислового комплексу та екології</w:t>
      </w: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 w:val="false"/>
          <w:color w:val="000000"/>
          <w:sz w:val="28"/>
          <w:szCs w:val="28"/>
          <w:highlight w:val="non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  <w:t xml:space="preserve">Менської міської ради                                                         Павло ТЕРЕНТІЄВ</w:t>
      </w: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/>
    </w:p>
    <w:p>
      <w:pPr>
        <w:ind w:left="9923"/>
        <w:jc w:val="both"/>
        <w:rPr>
          <w:rFonts w:ascii="Times New Roman" w:hAnsi="Times New Roman" w:eastAsia="Times New Roman"/>
          <w:bCs/>
          <w:color w:val="000000"/>
          <w:sz w:val="22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Додаток 1 </w:t>
      </w:r>
      <w:r/>
    </w:p>
    <w:p>
      <w:pPr>
        <w:ind w:left="9923"/>
        <w:jc w:val="both"/>
        <w:rPr>
          <w:rFonts w:ascii="Times New Roman" w:hAnsi="Times New Roman" w:eastAsia="Times New Roman"/>
          <w:color w:val="000000"/>
          <w:sz w:val="22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до Програми цільового використання коштів, що надходять у порядку відшкодування втрат сільськогосподарського і лісогосподарського виробництва на території </w:t>
      </w: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Менської міської  територіальної громади </w:t>
      </w: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 на </w:t>
      </w:r>
      <w:r>
        <w:rPr>
          <w:rFonts w:ascii="Times New Roman" w:hAnsi="Times New Roman" w:eastAsia="Times New Roman"/>
          <w:bCs/>
          <w:sz w:val="22"/>
          <w:szCs w:val="24"/>
          <w:lang w:eastAsia="ru-RU"/>
        </w:rPr>
        <w:t xml:space="preserve">2022-2025 </w:t>
      </w: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роки</w:t>
      </w:r>
      <w:r/>
    </w:p>
    <w:p>
      <w:pPr>
        <w:ind w:firstLine="720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Заходи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та обсяги фінансування передбачені Програмою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цільового використання коштів, що надходять у порядку відшкодування втрат сільськогосподарського і лісогосподарського виробництва на території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Менської міської  територіальної громади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2022-2025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роки </w:t>
      </w:r>
      <w:r/>
    </w:p>
    <w:tbl>
      <w:tblPr>
        <w:tblW w:w="15697" w:type="dxa"/>
        <w:jc w:val="center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1"/>
        <w:gridCol w:w="7372"/>
        <w:gridCol w:w="1214"/>
        <w:gridCol w:w="1214"/>
        <w:gridCol w:w="1214"/>
        <w:gridCol w:w="1214"/>
      </w:tblGrid>
      <w:tr>
        <w:trPr>
          <w:jc w:val="center"/>
          <w:trHeight w:val="52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Заходи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Опис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sz w:val="24"/>
                <w:szCs w:val="24"/>
                <w:lang w:bidi="hi-IN" w:eastAsia="hi-IN"/>
              </w:rPr>
              <w:t xml:space="preserve">2022 р., тис. грн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sz w:val="24"/>
                <w:szCs w:val="24"/>
                <w:lang w:bidi="hi-IN" w:eastAsia="hi-IN"/>
              </w:rPr>
              <w:t xml:space="preserve">2023 р., тис. грн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sz w:val="24"/>
                <w:szCs w:val="24"/>
                <w:lang w:bidi="hi-IN" w:eastAsia="hi-IN"/>
              </w:rPr>
              <w:t xml:space="preserve">2024 р., тис. грн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sz w:val="24"/>
                <w:szCs w:val="24"/>
                <w:lang w:bidi="hi-IN" w:eastAsia="hi-IN"/>
              </w:rPr>
              <w:t xml:space="preserve">2025 р., тис. грн</w:t>
            </w:r>
            <w:r/>
          </w:p>
        </w:tc>
      </w:tr>
      <w:tr>
        <w:trPr>
          <w:cantSplit/>
          <w:jc w:val="center"/>
          <w:trHeight w:val="1452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Освоєння земель для сільськогосподарських і лісогосподарських потреб, поліпшення відповідних угідь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  <w:t xml:space="preserve">освоєння непродуктивних земель у сільськогосподарські угіддя або </w:t>
            </w: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  <w:t xml:space="preserve">для створення лісових насаджень,</w:t>
            </w:r>
            <w:r>
              <w:t xml:space="preserve"> </w:t>
            </w: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  <w:t xml:space="preserve">розчистка земельних ділянок сільськогосподарського призначення від самосійної дерев’яної рослинності та порослі з метою приведення цих ділянок у стан, придатний для використання їх за цільовим призначенням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75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55</w:t>
            </w:r>
            <w:r/>
          </w:p>
        </w:tc>
      </w:tr>
      <w:tr>
        <w:trPr>
          <w:cantSplit/>
          <w:jc w:val="center"/>
          <w:trHeight w:val="105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засипка та </w:t>
            </w: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виположування</w:t>
            </w: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 ярів, освоєння селевих земель під багаторічні насадження та кормові угіддя, будівництво комплексу гідротехнічних споруд для захисту земель від ерозії, підтоплення, зсувів тощо та під'їзних схилів до земельних ділянок, що освоюються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55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</w:t>
            </w:r>
            <w:r/>
          </w:p>
        </w:tc>
      </w:tr>
      <w:tr>
        <w:trPr>
          <w:cantSplit/>
          <w:jc w:val="center"/>
          <w:trHeight w:val="1064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хімічна меліорація, залуження багаторічними травами еродованої та забрудненої шкідливими речовинами ріллі, посів сільгоспкультур на ділянках біологічної рекультивації земель, проведення інших робіт з освоєння нових земель і підвищення їх родючості</w:t>
            </w:r>
            <w:r/>
          </w:p>
        </w:tc>
        <w:tc>
          <w:tcPr>
            <w:tcBorders>
              <w:left w:val="single" w:color="000000" w:sz="8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45</w:t>
            </w:r>
            <w:r/>
          </w:p>
        </w:tc>
      </w:tr>
      <w:tr>
        <w:trPr>
          <w:cantSplit/>
          <w:jc w:val="center"/>
          <w:trHeight w:val="76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будівництво і реконструкція зрошувальних систем з джерелами зрошення, осушувальних систем, захист сільгоспугідь і лісових насаджень від підтоплення і </w:t>
            </w: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висушення</w:t>
            </w: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, розкорчовка списаних лісових і багаторічних плодових насаджень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70</w:t>
            </w:r>
            <w:r/>
          </w:p>
        </w:tc>
      </w:tr>
      <w:tr>
        <w:trPr>
          <w:cantSplit/>
          <w:jc w:val="center"/>
          <w:trHeight w:val="14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vAlign w:val="center"/>
            <w:vMerge w:val="continue"/>
            <w:textDirection w:val="lrTb"/>
            <w:noWrap w:val="false"/>
          </w:tcPr>
          <w:p>
            <w:pPr>
              <w:spacing w:lineRule="auto" w:line="256"/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проведення топографо-геодезичних, ґрунтових, геоботанічних та інших обстежень і розвідок, а також проектних робіт, пов'язаних з освоєнням нових земель та підвищенням їх родючості або поліпшенням наявних земель, розробка проектів землеустрою з </w:t>
            </w: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контурно</w:t>
            </w: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-меліоративною організацією території, регіональних програм і схем з охорони земель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</w:t>
            </w:r>
            <w:r/>
          </w:p>
        </w:tc>
      </w:tr>
      <w:tr>
        <w:trPr>
          <w:jc w:val="center"/>
          <w:trHeight w:val="827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textDirection w:val="lrTb"/>
            <w:noWrap w:val="false"/>
          </w:tcPr>
          <w:p>
            <w:pPr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Охорона земель відповідно до розроблених програм та проектів землеустрою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протиерозійне будівництво, протизсувні роботи, корчування лісосмуг, рекультивація порушених земель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8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8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8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8" w:space="0"/>
              <w:bottom w:val="single" w:color="000000" w:sz="8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</w:t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textDirection w:val="lrTb"/>
            <w:noWrap w:val="false"/>
          </w:tcPr>
          <w:p>
            <w:pPr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Проведення інвентаризації земель 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  <w:t xml:space="preserve">розробка документації із землеустрою щодо проведення інвентаризації земель на виконання прийнятих рішень сесії Менської міської ради</w:t>
            </w: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Lucida Sans Unicode"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оформлення земельних ділянок під сміттєзвалищами, кладовищами, об’єктами природо заповідного фонду, громадськими пасовищами</w:t>
            </w: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  <w:t xml:space="preserve"> (згідно додатку 2)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175</w:t>
            </w:r>
            <w:r/>
          </w:p>
        </w:tc>
      </w:tr>
      <w:tr>
        <w:trPr>
          <w:jc w:val="center"/>
          <w:trHeight w:val="148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FF0000"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Lucida Sans Unicode"/>
                <w:bCs/>
                <w:sz w:val="24"/>
                <w:szCs w:val="24"/>
                <w:lang w:bidi="hi-IN" w:eastAsia="hi-IN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01" w:type="dxa"/>
            <w:textDirection w:val="lrTb"/>
            <w:noWrap w:val="false"/>
          </w:tcPr>
          <w:p>
            <w:pPr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Cs/>
                <w:color w:val="FF0000"/>
                <w:sz w:val="24"/>
                <w:szCs w:val="24"/>
                <w:lang w:bidi="hi-IN" w:eastAsia="hi-I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shd w:val="clear" w:fill="FFFFFF" w:color="auto"/>
                <w:lang w:eastAsia="ru-RU"/>
              </w:rPr>
              <w:t xml:space="preserve">Проведення нормативної грошової оцінки землі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виготовлення технічної документації з нормативної грошової оцінки земель у межах населених пунктів,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земельних ділянок несільськогосподарського призначення, розташованих за межами населених пунктів, земельних ділянок сільськогосподарського призначення</w:t>
            </w:r>
            <w:r>
              <w:rPr>
                <w:rFonts w:ascii="Times New Roman" w:hAnsi="Times New Roman" w:eastAsia="Lucida Sans Unicode"/>
                <w:bCs/>
                <w:color w:val="FF0000"/>
                <w:sz w:val="24"/>
                <w:szCs w:val="24"/>
                <w:lang w:bidi="hi-IN" w:eastAsia="hi-IN"/>
              </w:rPr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left w:val="none" w:color="FFFFFF" w:sz="255" w:space="0"/>
              <w:top w:val="none" w:color="FFFFFF" w:sz="255" w:space="0"/>
              <w:right w:val="single" w:color="000000" w:sz="8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/>
          </w:p>
        </w:tc>
      </w:tr>
      <w:tr>
        <w:trPr>
          <w:jc w:val="center"/>
          <w:trHeight w:val="98"/>
        </w:trPr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69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Всього 5 000 000 грн :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37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127" w:leader="none"/>
              </w:tabs>
              <w:rPr>
                <w:rFonts w:ascii="Times New Roman" w:hAnsi="Times New Roman" w:eastAsia="Lucida Sans Unicod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Lucida Sans Unicode"/>
                <w:b/>
                <w:bCs/>
                <w:color w:val="000000" w:themeColor="text1"/>
                <w:sz w:val="24"/>
                <w:szCs w:val="24"/>
                <w:lang w:bidi="hi-IN" w:eastAsia="hi-IN"/>
              </w:rPr>
              <w:t xml:space="preserve">-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1360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590</w:t>
            </w:r>
            <w:r/>
          </w:p>
        </w:tc>
      </w:tr>
    </w:tbl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/>
          <w:color w:val="000000"/>
          <w:sz w:val="28"/>
          <w:szCs w:val="28"/>
        </w:rPr>
      </w:pP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>
        <w:rPr>
          <w:rFonts w:ascii="Times New Roman" w:hAnsi="Times New Roman" w:eastAsia="Lucida Sans Unicode"/>
          <w:b/>
          <w:bCs/>
          <w:color w:val="000000"/>
          <w:sz w:val="28"/>
          <w:szCs w:val="28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</w:rPr>
        <w:t xml:space="preserve">Начальник відділу земельних відносин,</w:t>
      </w:r>
      <w:r>
        <w:rPr>
          <w:b w:val="false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 w:val="false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  <w:t xml:space="preserve">агропромислового комплексу та екології</w:t>
      </w: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</w:r>
      <w:r/>
    </w:p>
    <w:p>
      <w:pPr>
        <w:jc w:val="both"/>
        <w:widowControl w:val="off"/>
        <w:tabs>
          <w:tab w:val="left" w:pos="2127" w:leader="none"/>
        </w:tabs>
        <w:rPr>
          <w:rFonts w:ascii="Times New Roman" w:hAnsi="Times New Roman" w:eastAsia="Lucida Sans Unicode"/>
          <w:b w:val="false"/>
          <w:color w:val="000000"/>
          <w:sz w:val="28"/>
          <w:szCs w:val="28"/>
        </w:rPr>
        <w:sectPr>
          <w:headerReference w:type="default" r:id="rId11"/>
          <w:footerReference w:type="default" r:id="rId15"/>
          <w:footnotePr/>
          <w:endnotePr/>
          <w:type w:val="nextPage"/>
          <w:pgSz w:w="16838" w:h="11906" w:orient="landscape"/>
          <w:pgMar w:top="426" w:right="1134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  <w:t xml:space="preserve">Менської міської ради                                                                                                                                  Павло ТЕРЕНТІЄВ</w:t>
      </w:r>
      <w:r>
        <w:rPr>
          <w:rFonts w:ascii="Times New Roman" w:hAnsi="Times New Roman" w:eastAsia="Lucida Sans Unicode"/>
          <w:b w:val="false"/>
          <w:bCs/>
          <w:color w:val="000000"/>
          <w:sz w:val="28"/>
          <w:szCs w:val="28"/>
          <w:highlight w:val="none"/>
        </w:rPr>
      </w:r>
      <w:r/>
    </w:p>
    <w:p>
      <w:pPr>
        <w:ind w:left="4820"/>
        <w:jc w:val="both"/>
        <w:rPr>
          <w:rFonts w:ascii="Times New Roman" w:hAnsi="Times New Roman" w:eastAsia="Times New Roman"/>
          <w:bCs/>
          <w:color w:val="000000"/>
          <w:sz w:val="22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Додаток 2 </w:t>
      </w:r>
      <w:r/>
    </w:p>
    <w:p>
      <w:pPr>
        <w:ind w:left="4820"/>
        <w:jc w:val="both"/>
        <w:rPr>
          <w:rFonts w:ascii="Times New Roman" w:hAnsi="Times New Roman" w:eastAsia="Times New Roman"/>
          <w:color w:val="000000"/>
          <w:sz w:val="22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до Програма цільового використання коштів, що надходять у порядку відшкодування втрат сільськогосподарського і лісогосподарського виробництва на території </w:t>
      </w: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Менської міської  територіальної громади </w:t>
      </w: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 на </w:t>
      </w:r>
      <w:r>
        <w:rPr>
          <w:rFonts w:ascii="Times New Roman" w:hAnsi="Times New Roman" w:eastAsia="Times New Roman"/>
          <w:bCs/>
          <w:sz w:val="22"/>
          <w:szCs w:val="24"/>
          <w:lang w:val="ru-RU" w:eastAsia="ru-RU"/>
        </w:rPr>
        <w:t xml:space="preserve">2022-2025</w:t>
      </w:r>
      <w:r>
        <w:rPr>
          <w:rFonts w:ascii="Times New Roman" w:hAnsi="Times New Roman" w:eastAsia="Times New Roman"/>
          <w:bCs/>
          <w:sz w:val="22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2"/>
          <w:szCs w:val="24"/>
          <w:lang w:eastAsia="ru-RU"/>
        </w:rPr>
        <w:t xml:space="preserve">роки</w:t>
      </w:r>
      <w:r/>
    </w:p>
    <w:p>
      <w:pPr>
        <w:ind w:firstLine="720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Проведення першочергових заходів з використання коштів по відшкодуванню втрат сільськогосподарського та лісогосподарського виробництва на </w:t>
      </w:r>
      <w:r>
        <w:rPr>
          <w:rFonts w:ascii="Times New Roman" w:hAnsi="Times New Roman" w:eastAsia="Times New Roman"/>
          <w:b/>
          <w:bCs/>
          <w:sz w:val="28"/>
          <w:szCs w:val="28"/>
          <w:lang w:val="ru-RU" w:eastAsia="ru-RU"/>
        </w:rPr>
        <w:t xml:space="preserve">2022-2025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роки</w:t>
      </w:r>
      <w:r>
        <w:rPr>
          <w:rFonts w:ascii="Times New Roman" w:hAnsi="Times New Roman" w:eastAsia="Times New Roman"/>
          <w:b/>
          <w:bCs/>
          <w:color w:val="000000"/>
          <w:sz w:val="16"/>
          <w:szCs w:val="16"/>
        </w:rPr>
      </w:r>
      <w:r/>
    </w:p>
    <w:tbl>
      <w:tblPr>
        <w:tblpPr w:horzAnchor="text" w:tblpXSpec="center" w:vertAnchor="text" w:tblpY="1" w:leftFromText="180" w:topFromText="0" w:rightFromText="180" w:bottomFromText="0"/>
        <w:tblW w:w="962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870"/>
        <w:gridCol w:w="992"/>
        <w:gridCol w:w="1134"/>
        <w:gridCol w:w="992"/>
        <w:gridCol w:w="992"/>
        <w:gridCol w:w="1128"/>
      </w:tblGrid>
      <w:tr>
        <w:trPr/>
        <w:tc>
          <w:tcPr>
            <w:gridSpan w:val="7"/>
            <w:tcBorders>
              <w:top w:val="single" w:color="000000" w:sz="4" w:space="0"/>
              <w:right w:val="single" w:sz="4" w:space="0" w:color="auto"/>
            </w:tcBorders>
            <w:tcW w:w="96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ПРОЕКТИ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</w:tcBorders>
            <w:tcW w:w="5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lang w:eastAsia="ru-RU"/>
              </w:rPr>
              <w:t xml:space="preserve">№</w:t>
            </w:r>
            <w:r>
              <w:rPr>
                <w:sz w:val="16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Заходи</w:t>
            </w:r>
            <w:r>
              <w:rPr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га</w:t>
            </w:r>
            <w:r>
              <w:rPr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trike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2022р.</w:t>
            </w:r>
            <w:r>
              <w:rPr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trike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2023 р.</w:t>
            </w:r>
            <w:r>
              <w:rPr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trike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2024р.</w:t>
            </w:r>
            <w:r>
              <w:rPr>
                <w:sz w:val="1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trike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2025р.</w:t>
            </w:r>
            <w:r>
              <w:rPr>
                <w:sz w:val="16"/>
              </w:rPr>
            </w:r>
            <w:r/>
          </w:p>
        </w:tc>
      </w:tr>
      <w:tr>
        <w:trPr>
          <w:cantSplit/>
        </w:trPr>
        <w:tc>
          <w:tcPr>
            <w:tcW w:w="5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r>
            <w:r>
              <w:rPr>
                <w:sz w:val="16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r>
            <w:r>
              <w:rPr>
                <w:sz w:val="16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тис. грн</w:t>
            </w:r>
            <w:r>
              <w:rPr>
                <w:sz w:val="16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тис. грн</w:t>
            </w:r>
            <w:r>
              <w:rPr>
                <w:sz w:val="16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тис. грн</w:t>
            </w:r>
            <w:r>
              <w:rPr>
                <w:sz w:val="16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lang w:eastAsia="ru-RU"/>
              </w:rPr>
              <w:t xml:space="preserve">тис. грн</w:t>
            </w:r>
            <w:r>
              <w:rPr>
                <w:sz w:val="16"/>
              </w:rPr>
            </w:r>
            <w:r/>
          </w:p>
        </w:tc>
      </w:tr>
      <w:tr>
        <w:trPr>
          <w:trHeight w:val="377"/>
        </w:trPr>
        <w:tc>
          <w:tcPr>
            <w:tcBorders>
              <w:top w:val="single" w:color="000000" w:sz="4" w:space="0"/>
            </w:tcBorders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</w:tcBorders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Оформлення сміттєзвалищ</w:t>
            </w:r>
            <w:r/>
          </w:p>
        </w:tc>
        <w:tc>
          <w:tcPr>
            <w:tcBorders>
              <w:top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30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1.1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Синявка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Семенівка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1.3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Макошине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1.4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Осьмаки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1.5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Вільне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Кладовища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2.1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Ліски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2.2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Дягова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2.3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м. Мена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</w:tr>
      <w:tr>
        <w:trPr>
          <w:trHeight w:val="316"/>
        </w:trPr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Гідрологічні заказники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838,2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560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352,5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247,5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145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3.1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Блистівське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400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3.2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Киселівське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162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3.3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Конохове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54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3.4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Круча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117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32,5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32,5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32,5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3.5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Кут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77,2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3.6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Озеро «Тихе»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3.7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Озеро «Гайтан»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3.8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Біологічний заказник урочище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Лош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3.9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Парк-пам’ятка садово-паркового мистецтва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Столенський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парк»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107,5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Замовлення проектів на виділення водоохоронних зон навколо водних об’єктів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Менської міської  територіальної громади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227,5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162,5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Замовлення проектів з метою оформлення громадських пасовищ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</w:t>
            </w:r>
            <w:r/>
          </w:p>
        </w:tc>
      </w:tr>
      <w:tr>
        <w:trPr/>
        <w:tc>
          <w:tcPr>
            <w:tcW w:w="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W w:w="3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Замовлення проектів щодо проведення інвентаризації земель 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500</w:t>
            </w:r>
            <w:r/>
          </w:p>
        </w:tc>
        <w:tc>
          <w:tcPr>
            <w:tcBorders>
              <w:left w:val="none" w:color="FFFFFF" w:sz="255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217,5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sz="4" w:space="0" w:color="auto"/>
            </w:tcBorders>
            <w:tcW w:w="11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-</w:t>
            </w:r>
            <w:r/>
          </w:p>
        </w:tc>
      </w:tr>
      <w:tr>
        <w:trPr/>
        <w:tc>
          <w:tcPr>
            <w:gridSpan w:val="2"/>
            <w:tcW w:w="4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ВСЬОГО –  2 495 тис. грн</w:t>
            </w:r>
            <w:r/>
          </w:p>
        </w:tc>
        <w:tc>
          <w:tcPr>
            <w:tcBorders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1410,2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1210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670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440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2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175</w:t>
            </w:r>
            <w:r/>
          </w:p>
        </w:tc>
      </w:tr>
    </w:tbl>
    <w:p>
      <w:pP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Начальник відділу земельних відносин,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агропромислового комплексу та екології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tabs>
          <w:tab w:val="left" w:pos="6945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Менської міської ради</w:t>
        <w:tab/>
        <w:t xml:space="preserve">Павло ТЕРЕНТІЄВ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sectPr>
      <w:headerReference w:type="default" r:id="rId12"/>
      <w:footerReference w:type="default" r:id="rId16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newromanpsmt">
    <w:panose1 w:val="020704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right"/>
      <w:rPr>
        <w:rFonts w:ascii="Times New Roman" w:hAnsi="Times New Roman" w:cs="Times New Roman" w:eastAsia="Times New Roman"/>
        <w:i/>
        <w:sz w:val="24"/>
      </w:rPr>
    </w:pPr>
    <w:fldSimple w:instr="PAGE \* MERGEFORMAT">
      <w:r>
        <w:rPr>
          <w:rFonts w:ascii="Times New Roman" w:hAnsi="Times New Roman" w:cs="Times New Roman" w:eastAsia="Times New Roman"/>
          <w:i/>
          <w:sz w:val="24"/>
        </w:rPr>
        <w:t xml:space="preserve">1</w:t>
      </w:r>
    </w:fldSimple>
    <w:r>
      <w:rPr>
        <w:rFonts w:ascii="Times New Roman" w:hAnsi="Times New Roman" w:cs="Times New Roman" w:eastAsia="Times New Roman"/>
        <w:i/>
        <w:sz w:val="24"/>
      </w:rPr>
    </w:r>
    <w:r>
      <w:rPr>
        <w:rFonts w:ascii="Times New Roman" w:hAnsi="Times New Roman" w:cs="Times New Roman" w:eastAsia="Times New Roman"/>
        <w:i/>
        <w:sz w:val="24"/>
      </w:rPr>
      <w:t xml:space="preserve">                                        продовження додатка</w:t>
    </w:r>
    <w:r>
      <w:rPr>
        <w:rFonts w:ascii="Times New Roman" w:hAnsi="Times New Roman" w:cs="Times New Roman" w:eastAsia="Times New Roman"/>
        <w:i/>
        <w:sz w:val="24"/>
      </w:rPr>
    </w:r>
    <w:r/>
  </w:p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right"/>
      <w:rPr>
        <w:rFonts w:ascii="Times New Roman" w:hAnsi="Times New Roman" w:cs="Times New Roman" w:eastAsia="Times New Roman"/>
        <w:i/>
        <w:sz w:val="24"/>
      </w:rPr>
    </w:pPr>
    <w:fldSimple w:instr="PAGE \* MERGEFORMAT">
      <w:r>
        <w:rPr>
          <w:rFonts w:ascii="Times New Roman" w:hAnsi="Times New Roman" w:cs="Times New Roman" w:eastAsia="Times New Roman"/>
          <w:i/>
          <w:sz w:val="24"/>
        </w:rPr>
        <w:t xml:space="preserve">1</w:t>
      </w:r>
    </w:fldSimple>
    <w:r>
      <w:rPr>
        <w:rFonts w:ascii="Times New Roman" w:hAnsi="Times New Roman" w:cs="Times New Roman" w:eastAsia="Times New Roman"/>
        <w:i/>
        <w:sz w:val="24"/>
      </w:rPr>
    </w:r>
    <w:r>
      <w:rPr>
        <w:rFonts w:ascii="Times New Roman" w:hAnsi="Times New Roman" w:cs="Times New Roman" w:eastAsia="Times New Roman"/>
        <w:i/>
        <w:sz w:val="24"/>
      </w:rPr>
      <w:t xml:space="preserve">                                        продовження додатка</w:t>
    </w:r>
    <w:r>
      <w:rPr>
        <w:rFonts w:ascii="Times New Roman" w:hAnsi="Times New Roman" w:cs="Times New Roman" w:eastAsia="Times New Roman"/>
        <w:i/>
        <w:sz w:val="24"/>
      </w:rPr>
    </w:r>
    <w:r/>
  </w:p>
  <w:p>
    <w:pPr>
      <w:pStyle w:val="90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right"/>
      <w:rPr>
        <w:rFonts w:ascii="Times New Roman" w:hAnsi="Times New Roman" w:cs="Times New Roman" w:eastAsia="Times New Roman"/>
        <w:i/>
        <w:sz w:val="24"/>
      </w:rPr>
    </w:pPr>
    <w:fldSimple w:instr="PAGE \* MERGEFORMAT">
      <w:r>
        <w:rPr>
          <w:rFonts w:ascii="Times New Roman" w:hAnsi="Times New Roman" w:cs="Times New Roman" w:eastAsia="Times New Roman"/>
          <w:i/>
          <w:sz w:val="24"/>
        </w:rPr>
        <w:t xml:space="preserve">1</w:t>
      </w:r>
    </w:fldSimple>
    <w:r>
      <w:rPr>
        <w:rFonts w:ascii="Times New Roman" w:hAnsi="Times New Roman" w:cs="Times New Roman" w:eastAsia="Times New Roman"/>
        <w:i/>
        <w:sz w:val="24"/>
      </w:rPr>
    </w:r>
    <w:r>
      <w:rPr>
        <w:rFonts w:ascii="Times New Roman" w:hAnsi="Times New Roman" w:cs="Times New Roman" w:eastAsia="Times New Roman"/>
        <w:i/>
        <w:sz w:val="24"/>
      </w:rPr>
      <w:t xml:space="preserve">                                        продовження додатка</w:t>
    </w:r>
    <w:r>
      <w:rPr>
        <w:rFonts w:ascii="Times New Roman" w:hAnsi="Times New Roman" w:cs="Times New Roman" w:eastAsia="Times New Roman"/>
        <w:i/>
        <w:sz w:val="24"/>
      </w:rPr>
    </w:r>
    <w:r/>
  </w:p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59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79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59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>
    <w:name w:val="Heading 1"/>
    <w:basedOn w:val="900"/>
    <w:next w:val="900"/>
    <w:link w:val="72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26">
    <w:name w:val="Heading 1 Char"/>
    <w:basedOn w:val="901"/>
    <w:link w:val="725"/>
    <w:uiPriority w:val="9"/>
    <w:rPr>
      <w:rFonts w:ascii="Arial" w:hAnsi="Arial" w:cs="Arial" w:eastAsia="Arial"/>
      <w:sz w:val="40"/>
      <w:szCs w:val="40"/>
    </w:rPr>
  </w:style>
  <w:style w:type="paragraph" w:styleId="727">
    <w:name w:val="Heading 2"/>
    <w:basedOn w:val="900"/>
    <w:next w:val="900"/>
    <w:link w:val="72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28">
    <w:name w:val="Heading 2 Char"/>
    <w:basedOn w:val="901"/>
    <w:link w:val="727"/>
    <w:uiPriority w:val="9"/>
    <w:rPr>
      <w:rFonts w:ascii="Arial" w:hAnsi="Arial" w:cs="Arial" w:eastAsia="Arial"/>
      <w:sz w:val="34"/>
    </w:rPr>
  </w:style>
  <w:style w:type="paragraph" w:styleId="729">
    <w:name w:val="Heading 3"/>
    <w:basedOn w:val="900"/>
    <w:next w:val="900"/>
    <w:link w:val="73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30">
    <w:name w:val="Heading 3 Char"/>
    <w:basedOn w:val="901"/>
    <w:link w:val="729"/>
    <w:uiPriority w:val="9"/>
    <w:rPr>
      <w:rFonts w:ascii="Arial" w:hAnsi="Arial" w:cs="Arial" w:eastAsia="Arial"/>
      <w:sz w:val="30"/>
      <w:szCs w:val="30"/>
    </w:rPr>
  </w:style>
  <w:style w:type="paragraph" w:styleId="731">
    <w:name w:val="Heading 4"/>
    <w:basedOn w:val="900"/>
    <w:next w:val="900"/>
    <w:link w:val="73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32">
    <w:name w:val="Heading 4 Char"/>
    <w:basedOn w:val="901"/>
    <w:link w:val="731"/>
    <w:uiPriority w:val="9"/>
    <w:rPr>
      <w:rFonts w:ascii="Arial" w:hAnsi="Arial" w:cs="Arial" w:eastAsia="Arial"/>
      <w:b/>
      <w:bCs/>
      <w:sz w:val="26"/>
      <w:szCs w:val="26"/>
    </w:rPr>
  </w:style>
  <w:style w:type="paragraph" w:styleId="733">
    <w:name w:val="Heading 5"/>
    <w:basedOn w:val="900"/>
    <w:next w:val="900"/>
    <w:link w:val="73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34">
    <w:name w:val="Heading 5 Char"/>
    <w:basedOn w:val="901"/>
    <w:link w:val="733"/>
    <w:uiPriority w:val="9"/>
    <w:rPr>
      <w:rFonts w:ascii="Arial" w:hAnsi="Arial" w:cs="Arial" w:eastAsia="Arial"/>
      <w:b/>
      <w:bCs/>
      <w:sz w:val="24"/>
      <w:szCs w:val="24"/>
    </w:rPr>
  </w:style>
  <w:style w:type="paragraph" w:styleId="735">
    <w:name w:val="Heading 6"/>
    <w:basedOn w:val="900"/>
    <w:next w:val="900"/>
    <w:link w:val="73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36">
    <w:name w:val="Heading 6 Char"/>
    <w:basedOn w:val="901"/>
    <w:link w:val="735"/>
    <w:uiPriority w:val="9"/>
    <w:rPr>
      <w:rFonts w:ascii="Arial" w:hAnsi="Arial" w:cs="Arial" w:eastAsia="Arial"/>
      <w:b/>
      <w:bCs/>
      <w:sz w:val="22"/>
      <w:szCs w:val="22"/>
    </w:rPr>
  </w:style>
  <w:style w:type="paragraph" w:styleId="737">
    <w:name w:val="Heading 7"/>
    <w:basedOn w:val="900"/>
    <w:next w:val="900"/>
    <w:link w:val="73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38">
    <w:name w:val="Heading 7 Char"/>
    <w:basedOn w:val="901"/>
    <w:link w:val="73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9">
    <w:name w:val="Heading 8"/>
    <w:basedOn w:val="900"/>
    <w:next w:val="900"/>
    <w:link w:val="74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40">
    <w:name w:val="Heading 8 Char"/>
    <w:basedOn w:val="901"/>
    <w:link w:val="739"/>
    <w:uiPriority w:val="9"/>
    <w:rPr>
      <w:rFonts w:ascii="Arial" w:hAnsi="Arial" w:cs="Arial" w:eastAsia="Arial"/>
      <w:i/>
      <w:iCs/>
      <w:sz w:val="22"/>
      <w:szCs w:val="22"/>
    </w:rPr>
  </w:style>
  <w:style w:type="paragraph" w:styleId="741">
    <w:name w:val="Heading 9"/>
    <w:basedOn w:val="900"/>
    <w:next w:val="900"/>
    <w:link w:val="74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42">
    <w:name w:val="Heading 9 Char"/>
    <w:basedOn w:val="901"/>
    <w:link w:val="741"/>
    <w:uiPriority w:val="9"/>
    <w:rPr>
      <w:rFonts w:ascii="Arial" w:hAnsi="Arial" w:cs="Arial" w:eastAsia="Arial"/>
      <w:i/>
      <w:iCs/>
      <w:sz w:val="21"/>
      <w:szCs w:val="21"/>
    </w:rPr>
  </w:style>
  <w:style w:type="paragraph" w:styleId="743">
    <w:name w:val="No Spacing"/>
    <w:qFormat/>
    <w:uiPriority w:val="1"/>
    <w:pPr>
      <w:spacing w:lineRule="auto" w:line="240" w:after="0" w:before="0"/>
    </w:pPr>
  </w:style>
  <w:style w:type="paragraph" w:styleId="744">
    <w:name w:val="Title"/>
    <w:basedOn w:val="900"/>
    <w:next w:val="900"/>
    <w:link w:val="74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45">
    <w:name w:val="Title Char"/>
    <w:basedOn w:val="901"/>
    <w:link w:val="744"/>
    <w:uiPriority w:val="10"/>
    <w:rPr>
      <w:sz w:val="48"/>
      <w:szCs w:val="48"/>
    </w:rPr>
  </w:style>
  <w:style w:type="paragraph" w:styleId="746">
    <w:name w:val="Subtitle"/>
    <w:basedOn w:val="900"/>
    <w:next w:val="900"/>
    <w:link w:val="747"/>
    <w:qFormat/>
    <w:uiPriority w:val="11"/>
    <w:rPr>
      <w:sz w:val="24"/>
      <w:szCs w:val="24"/>
    </w:rPr>
    <w:pPr>
      <w:spacing w:after="200" w:before="200"/>
    </w:pPr>
  </w:style>
  <w:style w:type="character" w:styleId="747">
    <w:name w:val="Subtitle Char"/>
    <w:basedOn w:val="901"/>
    <w:link w:val="746"/>
    <w:uiPriority w:val="11"/>
    <w:rPr>
      <w:sz w:val="24"/>
      <w:szCs w:val="24"/>
    </w:rPr>
  </w:style>
  <w:style w:type="paragraph" w:styleId="748">
    <w:name w:val="Quote"/>
    <w:basedOn w:val="900"/>
    <w:next w:val="900"/>
    <w:link w:val="749"/>
    <w:qFormat/>
    <w:uiPriority w:val="29"/>
    <w:rPr>
      <w:i/>
    </w:rPr>
    <w:pPr>
      <w:ind w:left="720" w:right="720"/>
    </w:p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0"/>
    <w:next w:val="900"/>
    <w:link w:val="75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51">
    <w:name w:val="Intense Quote Char"/>
    <w:link w:val="750"/>
    <w:uiPriority w:val="30"/>
    <w:rPr>
      <w:i/>
    </w:rPr>
  </w:style>
  <w:style w:type="character" w:styleId="752">
    <w:name w:val="Header Char"/>
    <w:basedOn w:val="901"/>
    <w:link w:val="905"/>
    <w:uiPriority w:val="99"/>
  </w:style>
  <w:style w:type="character" w:styleId="753">
    <w:name w:val="Footer Char"/>
    <w:basedOn w:val="901"/>
    <w:link w:val="907"/>
    <w:uiPriority w:val="99"/>
  </w:style>
  <w:style w:type="paragraph" w:styleId="754">
    <w:name w:val="Caption"/>
    <w:basedOn w:val="900"/>
    <w:next w:val="9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55">
    <w:name w:val="Caption Char"/>
    <w:basedOn w:val="754"/>
    <w:link w:val="907"/>
    <w:uiPriority w:val="99"/>
  </w:style>
  <w:style w:type="table" w:styleId="756">
    <w:name w:val="Table Grid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6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8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8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9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9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9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9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9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9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9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2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2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2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2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2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2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4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5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5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5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5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5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6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6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6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6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6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6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6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6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7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7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7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7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7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7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7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7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8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8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rPr>
      <w:sz w:val="18"/>
    </w:rPr>
    <w:pPr>
      <w:spacing w:lineRule="auto" w:line="240" w:after="40"/>
    </w:p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1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rPr>
      <w:sz w:val="20"/>
    </w:rPr>
    <w:pPr>
      <w:spacing w:lineRule="auto" w:line="240" w:after="0"/>
    </w:p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1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  <w:rPr>
      <w:rFonts w:ascii="Calibri" w:hAnsi="Calibri" w:cs="Times New Roman" w:eastAsia="Calibri"/>
      <w:sz w:val="20"/>
      <w:lang w:bidi="en-US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paragraph" w:styleId="904">
    <w:name w:val="List Paragraph"/>
    <w:qFormat/>
    <w:uiPriority w:val="34"/>
    <w:rPr>
      <w:rFonts w:ascii="Calibri" w:hAnsi="Calibri" w:cs="Times New Roman" w:eastAsia="Calibri"/>
      <w:sz w:val="20"/>
      <w:lang w:bidi="en-US"/>
    </w:rPr>
    <w:pPr>
      <w:contextualSpacing w:val="true"/>
      <w:ind w:left="720"/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905">
    <w:name w:val="Header"/>
    <w:basedOn w:val="900"/>
    <w:link w:val="9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901"/>
    <w:link w:val="905"/>
    <w:uiPriority w:val="99"/>
    <w:rPr>
      <w:rFonts w:ascii="Calibri" w:hAnsi="Calibri" w:cs="Times New Roman" w:eastAsia="Calibri"/>
      <w:sz w:val="20"/>
      <w:lang w:bidi="en-US"/>
    </w:rPr>
  </w:style>
  <w:style w:type="paragraph" w:styleId="907">
    <w:name w:val="Footer"/>
    <w:basedOn w:val="900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901"/>
    <w:link w:val="907"/>
    <w:uiPriority w:val="99"/>
    <w:rPr>
      <w:rFonts w:ascii="Calibri" w:hAnsi="Calibri" w:cs="Times New Roman" w:eastAsia="Calibri"/>
      <w:sz w:val="20"/>
      <w:lang w:bidi="en-US"/>
    </w:rPr>
  </w:style>
  <w:style w:type="paragraph" w:styleId="909">
    <w:name w:val="Balloon Text"/>
    <w:basedOn w:val="900"/>
    <w:link w:val="91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901"/>
    <w:link w:val="909"/>
    <w:uiPriority w:val="99"/>
    <w:semiHidden/>
    <w:rPr>
      <w:rFonts w:ascii="Segoe UI" w:hAnsi="Segoe UI" w:cs="Segoe UI" w:eastAsia="Calibri"/>
      <w:sz w:val="18"/>
      <w:szCs w:val="18"/>
      <w:lang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Relationship Id="rId18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83912FC3-A95C-4ACB-B59B-5C61E137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ПРИМАКОВ Геннадій Анатолійович</cp:lastModifiedBy>
  <cp:revision>25</cp:revision>
  <dcterms:created xsi:type="dcterms:W3CDTF">2021-11-02T12:25:00Z</dcterms:created>
  <dcterms:modified xsi:type="dcterms:W3CDTF">2021-12-11T11:40:37Z</dcterms:modified>
</cp:coreProperties>
</file>