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ind w:left="538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15 сесії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8 скликання</w:t>
      </w:r>
      <w:r>
        <w:rPr>
          <w:sz w:val="28"/>
          <w:szCs w:val="28"/>
        </w:rPr>
        <w:t xml:space="preserve"> </w:t>
      </w:r>
      <w:r/>
    </w:p>
    <w:p>
      <w:pPr>
        <w:ind w:left="538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09 грудня 2021 року № 814 </w:t>
      </w:r>
      <w:r/>
    </w:p>
    <w:p>
      <w:pPr>
        <w:ind w:left="578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firstLine="45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Програма фінансування робіт з будівництва, реконструкції, ремонту та утримання автомобільних доріг комунальної власності Менської місько</w:t>
      </w:r>
      <w:r>
        <w:rPr>
          <w:sz w:val="32"/>
          <w:szCs w:val="32"/>
        </w:rPr>
        <w:t xml:space="preserve">ї територіальної громади на 2022</w:t>
      </w:r>
      <w:r>
        <w:rPr>
          <w:sz w:val="32"/>
          <w:szCs w:val="32"/>
        </w:rPr>
        <w:t xml:space="preserve">-202</w:t>
      </w:r>
      <w:r>
        <w:rPr>
          <w:sz w:val="32"/>
          <w:szCs w:val="32"/>
        </w:rPr>
        <w:t xml:space="preserve">4</w:t>
      </w:r>
      <w:r>
        <w:rPr>
          <w:sz w:val="32"/>
          <w:szCs w:val="32"/>
        </w:rPr>
        <w:t xml:space="preserve"> роки</w:t>
      </w:r>
      <w:r/>
    </w:p>
    <w:p>
      <w:pPr>
        <w:ind w:firstLine="13"/>
      </w:pPr>
      <w:r/>
      <w:r/>
    </w:p>
    <w:p>
      <w:pPr>
        <w:ind w:firstLine="13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11780" cy="3642309"/>
                <wp:effectExtent l="0" t="0" r="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811780" cy="3642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21.4pt;height:286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firstLine="450"/>
        <w:jc w:val="center"/>
      </w:pPr>
      <w:r/>
      <w:r/>
    </w:p>
    <w:p>
      <w:pPr>
        <w:ind w:firstLine="450"/>
        <w:jc w:val="center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Мена</w:t>
      </w:r>
      <w:r>
        <w:rPr>
          <w:sz w:val="28"/>
          <w:szCs w:val="28"/>
        </w:rPr>
        <w:t xml:space="preserve">-2021</w:t>
      </w:r>
      <w:r>
        <w:rPr>
          <w:sz w:val="28"/>
          <w:szCs w:val="28"/>
        </w:rPr>
        <w:t xml:space="preserve"> р.</w:t>
      </w:r>
      <w:r/>
    </w:p>
    <w:p>
      <w:pPr>
        <w:ind w:firstLine="450"/>
        <w:jc w:val="center"/>
        <w:rPr>
          <w:b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cols w:num="1" w:sep="0" w:space="720" w:equalWidth="1"/>
          <w:docGrid w:linePitch="360"/>
          <w:titlePg/>
        </w:sectPr>
      </w:pPr>
      <w:r>
        <w:rPr>
          <w:b/>
          <w:sz w:val="28"/>
          <w:szCs w:val="28"/>
        </w:rPr>
      </w:r>
      <w:r/>
    </w:p>
    <w:p>
      <w:pPr>
        <w:numPr>
          <w:ilvl w:val="0"/>
          <w:numId w:val="16"/>
        </w:numPr>
        <w:ind w:left="0" w:firstLine="0"/>
        <w:jc w:val="center"/>
        <w:shd w:val="clear" w:fill="FFFFFF" w:color="auto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Паспорт Програми</w:t>
      </w:r>
      <w:r/>
    </w:p>
    <w:tbl>
      <w:tblPr>
        <w:tblW w:w="0" w:type="auto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2"/>
        <w:gridCol w:w="4305"/>
      </w:tblGrid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Депутати Менської міської ради восьмого скликання 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Дата, номер і назва розпорядчого документа органу виконавчої влади про розроблення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Менська міська рада 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Менська міська рада, підрядні – організації – виконавці робіт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2022-2024</w:t>
            </w:r>
            <w:r>
              <w:rPr>
                <w:sz w:val="28"/>
                <w:szCs w:val="28"/>
                <w:lang w:eastAsia="ru-RU"/>
              </w:rPr>
              <w:t xml:space="preserve"> рр.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Перелік місцевих бюджетів, які беруть участь у виконанні програми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 Державний та місцеві бюджети </w:t>
            </w:r>
            <w:r/>
          </w:p>
        </w:tc>
      </w:tr>
    </w:tbl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br w:type="page"/>
      </w:r>
      <w:r/>
    </w:p>
    <w:p>
      <w:pPr>
        <w:numPr>
          <w:ilvl w:val="0"/>
          <w:numId w:val="16"/>
        </w:numPr>
        <w:ind w:left="0" w:firstLine="0"/>
        <w:jc w:val="center"/>
        <w:shd w:val="clear" w:fill="FFFFFF" w:color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Визначення проблеми,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на розв’язання якої спрямована Програма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Закон України «Про автомобільні дороги» регулює відносини, пов’язані з функціонуванням та розвитком автомобільних доріг. Цим законом визначено, що автомобільні дороги поділяються на: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загального користування;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міст та інших населених пунктів;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відомчі (технологічні) автомобільні дороги;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на приватних територіях.</w:t>
      </w:r>
      <w:r/>
    </w:p>
    <w:p>
      <w:pPr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загального користування в свою чергу поділяються на: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загального користування державного значення;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загального користування місцевого значення.                     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Державне управління автомобільними дорогами загального користування здійснює Державне а</w:t>
      </w:r>
      <w:r>
        <w:rPr>
          <w:sz w:val="28"/>
          <w:szCs w:val="28"/>
          <w:lang w:eastAsia="ru-RU"/>
        </w:rPr>
        <w:t xml:space="preserve">гентство автомобільних доріг України (Укравтодор), яке має органи управління на місцях – Служби автомобільних доріг. Протяжність мережі автомобільних доріг загального користування Чернігівської області становить 7722,0 км, з них: автодороги державного знач</w:t>
      </w:r>
      <w:r>
        <w:rPr>
          <w:sz w:val="28"/>
          <w:szCs w:val="28"/>
          <w:lang w:eastAsia="ru-RU"/>
        </w:rPr>
        <w:t xml:space="preserve">ення – 2961,8 км (з них міжнародні – 332,7 км, національні – 142,8 км, регіональні – 797,1 км, територіальні – 1689,2 км), автодороги місцевого значення – 4760,2 км (з них обласні – 3122,0 км, районні – 1638,2 км). Не мають твердого покриття 490,0 км доріг</w:t>
      </w:r>
      <w:r>
        <w:rPr>
          <w:sz w:val="28"/>
          <w:szCs w:val="28"/>
          <w:lang w:eastAsia="ru-RU"/>
        </w:rPr>
        <w:t xml:space="preserve"> місцевого значення. З причин багаторічного недофінансування на проведення капітальних і поточних ремонтних робіт на сьогодні експлуатаційний стан більшості доріг державного та місцевого значення є незадовільним. Практично сімдесят відсотків з них уражено </w:t>
      </w:r>
      <w:r>
        <w:rPr>
          <w:sz w:val="28"/>
          <w:szCs w:val="28"/>
          <w:lang w:eastAsia="ru-RU"/>
        </w:rPr>
        <w:t xml:space="preserve">ямковістю</w:t>
      </w:r>
      <w:r>
        <w:rPr>
          <w:sz w:val="28"/>
          <w:szCs w:val="28"/>
          <w:lang w:eastAsia="ru-RU"/>
        </w:rPr>
        <w:t xml:space="preserve">, а окремі ділянки доріг є аварійно небезпечними та потребують термінового капітального і поточного середнього ремонтів. Такий стан автомобільних доріг гальмує соціально-економічний розвиток району та області </w:t>
      </w:r>
      <w:r>
        <w:rPr>
          <w:sz w:val="28"/>
          <w:szCs w:val="28"/>
          <w:lang w:eastAsia="ru-RU"/>
        </w:rPr>
        <w:t xml:space="preserve">вцілому</w:t>
      </w:r>
      <w:r>
        <w:rPr>
          <w:sz w:val="28"/>
          <w:szCs w:val="28"/>
          <w:lang w:eastAsia="ru-RU"/>
        </w:rPr>
        <w:t xml:space="preserve">, негативно впливає на розвиток цілих галузей, створює соціальну напругу. </w:t>
      </w:r>
      <w:r/>
    </w:p>
    <w:p>
      <w:pPr>
        <w:ind w:firstLine="720"/>
        <w:jc w:val="both"/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  <w:lang w:eastAsia="uk-UA"/>
        </w:rPr>
        <w:t xml:space="preserve">Відпо</w:t>
      </w:r>
      <w:r>
        <w:rPr>
          <w:sz w:val="28"/>
          <w:szCs w:val="28"/>
          <w:shd w:val="clear" w:fill="FFFFFF" w:color="auto"/>
          <w:lang w:eastAsia="ru-RU"/>
        </w:rPr>
        <w:t xml:space="preserve">відно до Закону «Про автомобільні дороги», вулиці і дороги міст та інших населених пунктів знаходяться у віданні органів місцевого самоврядування і є комунальною власністю. </w:t>
      </w:r>
      <w:r/>
    </w:p>
    <w:p>
      <w:pPr>
        <w:ind w:firstLine="720"/>
        <w:jc w:val="both"/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  <w:lang w:eastAsia="ru-RU"/>
        </w:rPr>
        <w:t xml:space="preserve">Фінансування будівництва, реконструкції, ремонту та утримання вулиць і доріг міст та інших населених пунктів здійснюється за рахунок бюджетів міст та інших населених пунктів, а також інших джерел фінансування, визначених законодавством.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 балансі Менської територіальної громади знаходиться 375,626 км. дорожніх мереж.</w:t>
      </w:r>
      <w:r>
        <w:rPr>
          <w:sz w:val="28"/>
          <w:szCs w:val="28"/>
          <w:lang w:eastAsia="ru-RU"/>
        </w:rPr>
        <w:t xml:space="preserve"> На сьогоднішній час значна кількість доріг з асфальтовим покриттям потребує проведення капітального ремонту. Перш за все викликають занепокоєння ті ділянки доріг, по яких проходять автобусні сполучення, підвезення дітей до шкіл, надання медичної допомоги.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 розробці Програми необхідно врахувати комплекс напрямків розвитку інфраструктури. Критеріями розвитку автомобільних доріг Менської об’єднаної територіальної громади до 2023 року, враховуючи їх незадовільний експлуатаційний стан, є:  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збереження мережі автомобільних доріг;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ефективного функціонування і безпеки дорожнього руху; 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транспортної доступності центр - периферія;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реконструкція і розбудова мережі автомобільних доріг з урахуванням соціально-економічного і адміністративно-територіального розвитку району;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запровадження механізму державно-приватного партнерства для реалізації інфраструктурних проектів;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співпраця з організаціями, підприємцями та фізичними особами з питання проведення робіт з будівництва, реконструкції, ремонту та утримання доріг загального користування державного та місцевого значення;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впровадження нових систем організації будівництва, реконструкції, ремонтів й експлуатаційного утримання автомобільних доріг на засадах вільної конкуренції приватних та державних підрядників; 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створення ринку відповідних робіт і послуг на умовах довгострокових контрактів та інше.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Законом України «Про Державний бюджет України» визначається обсяг фінансових ресурсів, який спрямовується з Державного бюджету Службі автомобільних доріг для фінансування р</w:t>
      </w:r>
      <w:r>
        <w:rPr>
          <w:sz w:val="28"/>
          <w:szCs w:val="28"/>
          <w:lang w:eastAsia="ru-RU"/>
        </w:rPr>
        <w:t xml:space="preserve">обіт із будівництва, реконструкції, ремонтів та утримання мережі доріг загального користування, а також автомобільних доріг комунальної власності, однак, обсяги фінансування з державного бюджету упродовж останніх років не забезпечували нормативних термінів</w:t>
      </w:r>
      <w:r>
        <w:rPr>
          <w:sz w:val="28"/>
          <w:szCs w:val="28"/>
          <w:lang w:eastAsia="ru-RU"/>
        </w:rPr>
        <w:t xml:space="preserve"> проведення ремонтних робіт автомобільних доріг. Крім того, бюджетним законодавством не заборонено  проводити фінансування доріг місцевого значення за рахунок коштів місцевих бюджетів та коштів із інших, не заборонених  законодавством, джерел фінансування.</w:t>
      </w:r>
      <w:r/>
    </w:p>
    <w:p>
      <w:pPr>
        <w:numPr>
          <w:ilvl w:val="0"/>
          <w:numId w:val="16"/>
        </w:numPr>
        <w:ind w:left="0" w:firstLine="0"/>
        <w:jc w:val="center"/>
        <w:shd w:val="clear" w:fill="FFFFFF" w:color="auto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Мета Програми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Зва</w:t>
      </w:r>
      <w:r>
        <w:rPr>
          <w:sz w:val="28"/>
          <w:szCs w:val="28"/>
          <w:lang w:eastAsia="ru-RU"/>
        </w:rPr>
        <w:t xml:space="preserve">жаючи на незадовільний техніко-експлуатаційний стан більшості автомобільних доріг, основною метою Програми є збереження існуючої мережі автомобільних доріг комунальної власності, забезпечення задовільних умов руху автотранспорту й безпеки дорожнього руху.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 пріоритетних напрямів під час визначення об’єктів будівництва, реконструкції, ремонту та утримання доріг віднесено: 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проведення капітального ремонту вулиць і доріг комунальної власності у населених пунктах громади;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проведення поточного ремонту та утримання вулиць і доріг комунальної власності у населених пунктах  громади;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виконання ремонтних робіт із застосуванням в’яжучих матеріалів на основі високоякісних бітумів та інших </w:t>
      </w:r>
      <w:r>
        <w:rPr>
          <w:sz w:val="28"/>
          <w:szCs w:val="28"/>
          <w:lang w:eastAsia="ru-RU"/>
        </w:rPr>
        <w:t xml:space="preserve">дорожньо-будівельних</w:t>
      </w:r>
      <w:r>
        <w:rPr>
          <w:sz w:val="28"/>
          <w:szCs w:val="28"/>
          <w:lang w:eastAsia="ru-RU"/>
        </w:rPr>
        <w:t xml:space="preserve"> матеріалів;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безпеки дорожнього руху в межах автомобільних доріг комунальної власності Менської територіальної громади шляхом встановлення засобів організації дорожнього руху (дорожні знаки, покажчики, тощо);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під’їзду до опорних навчальних та медичних закладів;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під’їзду до соціальних та культурних об’єктів, соціально - важливих проектів, туристичних об’єктів, тощо.</w:t>
      </w:r>
      <w:r/>
    </w:p>
    <w:p>
      <w:pPr>
        <w:numPr>
          <w:ilvl w:val="0"/>
          <w:numId w:val="16"/>
        </w:numPr>
        <w:ind w:left="0" w:firstLine="0"/>
        <w:jc w:val="both"/>
        <w:shd w:val="clear" w:fill="FFFFFF" w:color="auto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Відповідальні виконавці Програми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Відповідальними виконавцями Програми в частині її  розроблення є Менська міська рада, в частині забезпечення виконання робіт із будівництва, </w:t>
      </w:r>
      <w:r>
        <w:rPr>
          <w:sz w:val="28"/>
          <w:szCs w:val="28"/>
          <w:lang w:eastAsia="ru-RU"/>
        </w:rPr>
        <w:t xml:space="preserve">реконструкції, ремонту та утримання доріг комунальної власності Менської міської територіальної громади є виконавці робіт.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Замовником з виконання робіт на об’єктах ремонту та утримання доріг комунальної власності Менської територіальної громади є </w:t>
      </w:r>
      <w:r>
        <w:rPr>
          <w:sz w:val="28"/>
          <w:szCs w:val="28"/>
          <w:lang w:eastAsia="ru-RU"/>
        </w:rPr>
        <w:t xml:space="preserve">балансоутримувач</w:t>
      </w:r>
      <w:r>
        <w:rPr>
          <w:sz w:val="28"/>
          <w:szCs w:val="28"/>
          <w:lang w:eastAsia="ru-RU"/>
        </w:rPr>
        <w:t xml:space="preserve"> доріг – Менська міська  рада.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Визначення виконавців робіт з ремонту та утримання доріг комунальної власності, в тому числі і визначення виконавця на здійснення технічного нагляду, здійснюється замовником відповідно до норм чинного законодавства.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Напрями діяльності та заходи Програми наведено в Додатку 1, додається.</w:t>
      </w:r>
      <w:r/>
    </w:p>
    <w:p>
      <w:pPr>
        <w:numPr>
          <w:ilvl w:val="0"/>
          <w:numId w:val="16"/>
        </w:numPr>
        <w:ind w:left="0" w:firstLine="0"/>
        <w:jc w:val="both"/>
        <w:shd w:val="clear" w:fill="FFFFFF" w:color="auto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Фінансування Програми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Фінансування Програми здійснюється за рахунок коштів бюджетів територіальної громади, </w:t>
      </w:r>
      <w:r>
        <w:rPr>
          <w:sz w:val="28"/>
          <w:szCs w:val="28"/>
        </w:rPr>
        <w:t xml:space="preserve">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</w:t>
      </w:r>
      <w:r>
        <w:rPr>
          <w:sz w:val="28"/>
          <w:szCs w:val="28"/>
          <w:lang w:eastAsia="ru-RU"/>
        </w:rPr>
        <w:t xml:space="preserve">інших джерел, не заборо</w:t>
      </w:r>
      <w:r>
        <w:rPr>
          <w:sz w:val="28"/>
          <w:szCs w:val="28"/>
          <w:lang w:eastAsia="ru-RU"/>
        </w:rPr>
        <w:t xml:space="preserve">нених законодавством.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змінюватись в процесі виконання бюджету при внесенні змін до нього.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Обсяг фінансових ресурсів, необхідних для реалізації програми, визначається під час розробки програми соціально-економічного розвитку та затвердження бюджету територіальної громади на наступний рік.</w:t>
      </w:r>
      <w:r/>
    </w:p>
    <w:p>
      <w:pPr>
        <w:ind w:firstLine="720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Орієнтовний обсяг фінансування робіт з ремонту та утримання  вулиць і доріг комунальної власності у населених пунктах становить: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1233"/>
        <w:gridCol w:w="2596"/>
        <w:gridCol w:w="3406"/>
        <w:gridCol w:w="2120"/>
      </w:tblGrid>
      <w:tr>
        <w:trPr>
          <w:cantSplit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Рік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2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b/>
                <w:i/>
                <w:color w:val="000000"/>
                <w:sz w:val="18"/>
              </w:rPr>
              <w:t xml:space="preserve">Джерела фінансування, </w:t>
            </w:r>
            <w:r>
              <w:rPr>
                <w:b/>
                <w:i/>
                <w:color w:val="000000"/>
                <w:sz w:val="18"/>
              </w:rPr>
              <w:t xml:space="preserve">тис.грн</w:t>
            </w:r>
            <w:r>
              <w:rPr>
                <w:b/>
                <w:i/>
                <w:color w:val="000000"/>
                <w:sz w:val="18"/>
              </w:rPr>
              <w:t xml:space="preserve">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b/>
                <w:i/>
                <w:color w:val="000000"/>
                <w:sz w:val="18"/>
              </w:rPr>
              <w:t xml:space="preserve">міський бюджет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b/>
                <w:i/>
                <w:color w:val="000000"/>
                <w:sz w:val="18"/>
              </w:rPr>
              <w:t xml:space="preserve">Інші 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b/>
                <w:i/>
                <w:color w:val="000000"/>
                <w:sz w:val="18"/>
              </w:rPr>
              <w:t xml:space="preserve">Всього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2022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4</w:t>
            </w:r>
            <w:r>
              <w:rPr>
                <w:color w:val="000000"/>
                <w:sz w:val="24"/>
                <w:lang w:val="ru-RU"/>
              </w:rPr>
              <w:t xml:space="preserve">85</w:t>
            </w:r>
            <w:r>
              <w:rPr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8800,00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b/>
                <w:sz w:val="24"/>
              </w:rPr>
              <w:t xml:space="preserve">13</w:t>
            </w:r>
            <w:r>
              <w:rPr>
                <w:b/>
                <w:sz w:val="24"/>
                <w:lang w:val="ru-RU"/>
              </w:rPr>
              <w:t xml:space="preserve">65</w:t>
            </w:r>
            <w:r>
              <w:rPr>
                <w:b/>
                <w:sz w:val="24"/>
              </w:rPr>
              <w:t xml:space="preserve">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2023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5</w:t>
            </w:r>
            <w:r>
              <w:rPr>
                <w:color w:val="000000"/>
                <w:sz w:val="24"/>
                <w:lang w:val="ru-RU"/>
              </w:rPr>
              <w:t xml:space="preserve">38</w:t>
            </w:r>
            <w:r>
              <w:rPr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8930,00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  <w:rPr>
                <w:sz w:val="22"/>
              </w:rPr>
            </w:pPr>
            <w:r>
              <w:rPr>
                <w:b/>
                <w:sz w:val="24"/>
              </w:rPr>
              <w:t xml:space="preserve">14</w:t>
            </w:r>
            <w:r>
              <w:rPr>
                <w:b/>
                <w:sz w:val="24"/>
                <w:lang w:val="ru-RU"/>
              </w:rPr>
              <w:t xml:space="preserve">31</w:t>
            </w:r>
            <w:r>
              <w:rPr>
                <w:b/>
                <w:sz w:val="24"/>
              </w:rPr>
              <w:t xml:space="preserve">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2024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 xml:space="preserve">5930</w:t>
            </w:r>
            <w:r>
              <w:rPr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 xml:space="preserve">90</w:t>
            </w:r>
            <w:r>
              <w:rPr>
                <w:color w:val="000000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1</w:t>
            </w:r>
            <w:r>
              <w:rPr>
                <w:b/>
                <w:sz w:val="24"/>
                <w:lang w:val="ru-RU"/>
              </w:rPr>
              <w:t xml:space="preserve">493</w:t>
            </w:r>
            <w:r>
              <w:rPr>
                <w:b/>
                <w:sz w:val="24"/>
              </w:rPr>
              <w:t xml:space="preserve">0</w:t>
            </w:r>
            <w:r>
              <w:rPr>
                <w:b/>
                <w:sz w:val="24"/>
                <w:lang w:val="ru-RU"/>
              </w:rPr>
              <w:t xml:space="preserve">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</w:t>
            </w:r>
            <w:r>
              <w:rPr>
                <w:color w:val="000000"/>
                <w:sz w:val="24"/>
                <w:lang w:val="ru-RU"/>
              </w:rPr>
              <w:t xml:space="preserve">16</w:t>
            </w:r>
            <w:r>
              <w:rPr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</w:t>
            </w:r>
            <w:r>
              <w:rPr>
                <w:color w:val="000000"/>
                <w:sz w:val="24"/>
                <w:lang w:val="ru-RU"/>
              </w:rPr>
              <w:t xml:space="preserve">673</w:t>
            </w:r>
            <w:r>
              <w:rPr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4</w:t>
            </w:r>
            <w:r>
              <w:rPr>
                <w:b/>
                <w:sz w:val="24"/>
                <w:lang w:val="ru-RU"/>
              </w:rPr>
              <w:t xml:space="preserve">289</w:t>
            </w:r>
            <w:r>
              <w:rPr>
                <w:b/>
                <w:sz w:val="24"/>
              </w:rPr>
              <w:t xml:space="preserve">0,00</w:t>
            </w:r>
            <w:r/>
          </w:p>
        </w:tc>
      </w:tr>
    </w:tbl>
    <w:p>
      <w:pPr>
        <w:numPr>
          <w:ilvl w:val="0"/>
          <w:numId w:val="16"/>
        </w:numPr>
        <w:jc w:val="both"/>
        <w:shd w:val="clear" w:fill="FFFFFF" w:color="auto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Порядок виконання Програми</w:t>
      </w:r>
      <w:r/>
    </w:p>
    <w:p>
      <w:pPr>
        <w:ind w:firstLine="708"/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Виключне право першочергового фінансування надається об’єктам, по яких:</w:t>
      </w:r>
      <w:r/>
    </w:p>
    <w:p>
      <w:pPr>
        <w:ind w:firstLine="708"/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1) в наявності є проектно–кошторисна документація з відповідними висновками та експертизами (за вимогою УДКСУ в Менському районі при капітальному ремонті і будівництві),</w:t>
      </w:r>
      <w:r/>
    </w:p>
    <w:p>
      <w:pPr>
        <w:ind w:firstLine="708"/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2) незадовільний стан дорожнього покриття (або його відсутність), що підтверджується актом обстеження стану проїзної частини вулиці;</w:t>
      </w:r>
      <w:r/>
    </w:p>
    <w:p>
      <w:pPr>
        <w:ind w:firstLine="708"/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магістральні вулиці, по яких йде основний потік транспорту.</w:t>
      </w:r>
      <w:r/>
    </w:p>
    <w:p>
      <w:pPr>
        <w:ind w:firstLine="709"/>
        <w:jc w:val="both"/>
        <w:shd w:val="clear" w:fill="FFFFFF" w:color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Розгляд об’єктів капітального (поточного) ремонту  та  будів</w:t>
      </w:r>
      <w:r>
        <w:rPr>
          <w:sz w:val="28"/>
          <w:szCs w:val="28"/>
          <w:lang w:eastAsia="ru-RU"/>
        </w:rPr>
        <w:t xml:space="preserve">ництва автомобільних доріг проводиться спільним засіданням постійних депутатських комісій</w:t>
      </w:r>
      <w:r>
        <w:rPr>
          <w:sz w:val="28"/>
          <w:szCs w:val="28"/>
          <w:lang w:eastAsia="ru-RU"/>
        </w:rPr>
        <w:t xml:space="preserve"> міської ради з питань </w:t>
      </w:r>
      <w:r>
        <w:rPr>
          <w:sz w:val="28"/>
          <w:szCs w:val="28"/>
          <w:lang w:eastAsia="ru-RU"/>
        </w:rPr>
        <w:t xml:space="preserve">житлово</w:t>
      </w:r>
      <w:r>
        <w:rPr>
          <w:sz w:val="28"/>
          <w:szCs w:val="28"/>
          <w:lang w:eastAsia="ru-RU"/>
        </w:rPr>
        <w:t xml:space="preserve"> – комунального господарства та комунальної власності</w:t>
      </w:r>
      <w:r>
        <w:rPr>
          <w:sz w:val="28"/>
          <w:szCs w:val="28"/>
          <w:lang w:eastAsia="ru-RU"/>
        </w:rPr>
        <w:t xml:space="preserve"> та </w:t>
      </w:r>
      <w:r>
        <w:rPr>
          <w:sz w:val="28"/>
          <w:szCs w:val="28"/>
          <w:lang w:eastAsia="ru-RU"/>
        </w:rPr>
        <w:t xml:space="preserve">з питань планування, фінансів, бюджету та соціально - економічного розвитк</w:t>
      </w:r>
      <w:r>
        <w:rPr>
          <w:sz w:val="28"/>
          <w:szCs w:val="28"/>
          <w:lang w:eastAsia="ru-RU"/>
        </w:rPr>
        <w:t xml:space="preserve">у. При цьому</w:t>
      </w:r>
      <w:r>
        <w:rPr>
          <w:sz w:val="28"/>
          <w:szCs w:val="28"/>
          <w:lang w:eastAsia="ru-RU"/>
        </w:rPr>
        <w:t xml:space="preserve"> готує</w:t>
      </w:r>
      <w:r>
        <w:rPr>
          <w:sz w:val="28"/>
          <w:szCs w:val="28"/>
          <w:lang w:eastAsia="ru-RU"/>
        </w:rPr>
        <w:t xml:space="preserve">ться</w:t>
      </w:r>
      <w:r>
        <w:rPr>
          <w:sz w:val="28"/>
          <w:szCs w:val="28"/>
          <w:lang w:eastAsia="ru-RU"/>
        </w:rPr>
        <w:t xml:space="preserve"> висновок про дотримання вимог, викладених у пункті 6 даної Програми. </w:t>
      </w:r>
      <w:r/>
    </w:p>
    <w:p>
      <w:pPr>
        <w:ind w:firstLine="708"/>
        <w:jc w:val="both"/>
        <w:shd w:val="clear" w:fill="FFFFFF" w:color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Очікувані результати</w:t>
      </w:r>
      <w:r/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Виконання Програми дасть змогу забезпечити: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поліпшення транспортно-експлуатаційного стану автомобільних доріг і приведення його у відповідність із вимогами нормативних документів, створення належної дорожньої інфраструктури;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збереження існуючої мережі доріг комунальної власності від руйнування; своєчасне виконання ямкового ремонту та заходів з безпеки дорожнього руху і зимового утримання;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покращення транспортного, пішохідного зв’язку та безпеки дорожнього руху;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зменшення кількості дорожньо-транспортних пригод;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залучення громадськості та спонсорів до вирішення проблем ремонту доріг; 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збільшення обсягів дорожніх робіт та, відповідно, дорожньої будівельної індустрії;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удосконалення системи управління автомобільними дорогами, запровадження громадського контролю за використанням бюджетних коштів;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підвищення ефективності використання бюджетних коштів;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залучення інших джерел фінансування на будівництво, реконструкцію та капітальний ремонт автомобільних доріг;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ефективне використання наявних коштів та підвищення якості робіт, що виконуються, у тому числі шляхом упровадження нових матеріалів та технологій.</w:t>
      </w:r>
      <w:r/>
    </w:p>
    <w:p>
      <w:pPr>
        <w:ind w:firstLine="720"/>
        <w:jc w:val="both"/>
        <w:spacing w:after="120"/>
        <w:widowControl w:val="off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Організація забезпечення та контроль за виконанням Програми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Контроль виконання Програми здійснює заступник міського голови з питань діяльності виконкому (згідно функціональних обов’язків), виконком Менської міської ради.</w:t>
      </w:r>
      <w:r/>
    </w:p>
    <w:p>
      <w:pPr>
        <w:ind w:firstLine="708"/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Моніторинг стану реалізації заходів Програми здійснюється відділом архітектури та містобудування  Менської міської ради.</w:t>
      </w:r>
      <w:r/>
    </w:p>
    <w:p>
      <w:pPr>
        <w:ind w:firstLine="708"/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53"/>
        <w:contextualSpacing w:val="false"/>
        <w:ind w:left="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>
        <w:rPr>
          <w:rFonts w:ascii="Times New Roman" w:hAnsi="Times New Roman" w:cs="Times New Roman"/>
          <w:lang w:val="uk-UA"/>
        </w:rPr>
      </w:r>
      <w:r/>
    </w:p>
    <w:p>
      <w:pPr>
        <w:ind w:firstLine="0"/>
        <w:jc w:val="both"/>
        <w:shd w:val="clear" w:fill="FFFFFF" w:color="auto"/>
        <w:rPr>
          <w:rFonts w:ascii="Times New Roman" w:hAnsi="Times New Roman" w:cs="Times New Roman"/>
          <w:lang w:val="uk-UA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Андрій ЮЩЕНКО</w:t>
      </w:r>
      <w:r>
        <w:rPr>
          <w:sz w:val="28"/>
          <w:szCs w:val="28"/>
        </w:rPr>
      </w:r>
      <w:r/>
    </w:p>
    <w:p>
      <w:pPr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  <w:r/>
    </w:p>
    <w:p>
      <w:pPr>
        <w:ind w:left="9922" w:hanging="1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Додаток 1 </w:t>
      </w:r>
      <w:r/>
    </w:p>
    <w:p>
      <w:pPr>
        <w:ind w:left="9922" w:hanging="11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 Програми </w:t>
      </w:r>
      <w:r>
        <w:rPr>
          <w:sz w:val="28"/>
          <w:szCs w:val="28"/>
        </w:rPr>
        <w:t xml:space="preserve">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роки</w:t>
      </w:r>
      <w:r>
        <w:rPr>
          <w:rFonts w:eastAsia="Calibri"/>
          <w:b/>
          <w:iCs/>
          <w:sz w:val="28"/>
          <w:szCs w:val="28"/>
        </w:rPr>
      </w:r>
      <w:r/>
    </w:p>
    <w:p>
      <w:pPr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Напрями діяльності та заходи Програми</w:t>
      </w:r>
      <w:r/>
    </w:p>
    <w:p>
      <w:pPr>
        <w:jc w:val="center"/>
        <w:rPr>
          <w:rFonts w:eastAsia="Calibri"/>
          <w:b/>
          <w:iCs/>
          <w:sz w:val="16"/>
          <w:szCs w:val="16"/>
        </w:rPr>
      </w:pPr>
      <w:r>
        <w:rPr>
          <w:rFonts w:eastAsia="Calibri"/>
          <w:b/>
          <w:iCs/>
          <w:sz w:val="16"/>
          <w:szCs w:val="16"/>
        </w:rPr>
      </w:r>
      <w:r/>
    </w:p>
    <w:tbl>
      <w:tblPr>
        <w:tblW w:w="15310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551"/>
        <w:gridCol w:w="1134"/>
        <w:gridCol w:w="1225"/>
        <w:gridCol w:w="1387"/>
        <w:gridCol w:w="1387"/>
        <w:gridCol w:w="1388"/>
        <w:gridCol w:w="2268"/>
      </w:tblGrid>
      <w:tr>
        <w:trPr>
          <w:cantSplit/>
        </w:trPr>
        <w:tc>
          <w:tcPr>
            <w:tcW w:w="2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Заходи програми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Строк виконання заходу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Виконавці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Джерела фінансування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Обсяги фінансування</w:t>
            </w:r>
            <w:r/>
          </w:p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(тис. гривень)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Очікуваний результат</w:t>
            </w:r>
            <w:r/>
          </w:p>
        </w:tc>
      </w:tr>
      <w:tr>
        <w:trPr>
          <w:cantSplit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Всього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4162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 тому числі</w:t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 xml:space="preserve">202</w:t>
            </w:r>
            <w:r>
              <w:rPr>
                <w:rFonts w:eastAsia="Calibri"/>
                <w:sz w:val="24"/>
                <w:lang w:val="ru-RU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 xml:space="preserve">202</w:t>
            </w:r>
            <w:r>
              <w:rPr>
                <w:rFonts w:eastAsia="Calibri"/>
                <w:sz w:val="24"/>
                <w:lang w:val="ru-RU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 xml:space="preserve">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</w:t>
            </w:r>
            <w:r/>
          </w:p>
        </w:tc>
      </w:tr>
      <w:tr>
        <w:trPr/>
        <w:tc>
          <w:tcPr>
            <w:gridSpan w:val="9"/>
            <w:tcW w:w="15310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Розвиток автомобільних доріг комунальної власності</w:t>
            </w:r>
            <w:r/>
          </w:p>
        </w:tc>
      </w:tr>
      <w:tr>
        <w:trPr>
          <w:trHeight w:val="1190"/>
        </w:trPr>
        <w:tc>
          <w:tcPr>
            <w:tcBorders>
              <w:bottom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spacing w:lineRule="auto" w:line="223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1.Капітальний ремонт та реконструкція автомобільних доріг комунальної власності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Державний бюджет, 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  <w:lang w:val="ru-RU"/>
              </w:rPr>
              <w:t xml:space="preserve">3183</w:t>
            </w:r>
            <w:r>
              <w:rPr>
                <w:rFonts w:eastAsia="Calibri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10 10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</w:t>
            </w:r>
            <w:r>
              <w:rPr>
                <w:rFonts w:eastAsia="Calibri"/>
                <w:sz w:val="24"/>
              </w:rPr>
              <w:t xml:space="preserve"> </w:t>
            </w:r>
            <w:r>
              <w:rPr>
                <w:rFonts w:eastAsia="Calibri"/>
                <w:sz w:val="24"/>
                <w:lang w:val="ru-RU"/>
              </w:rPr>
              <w:t xml:space="preserve">73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1</w:t>
            </w:r>
            <w:r>
              <w:rPr>
                <w:rFonts w:eastAsia="Calibri"/>
                <w:sz w:val="24"/>
              </w:rPr>
              <w:t xml:space="preserve"> 000,00</w:t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2836" w:type="dxa"/>
            <w:vAlign w:val="center"/>
            <w:textDirection w:val="lrTb"/>
            <w:noWrap w:val="false"/>
          </w:tcPr>
          <w:p>
            <w:pPr>
              <w:spacing w:lineRule="auto" w:line="223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3.Поточний дрібний ремонт і експлуатаційне утримання автомобільних доріг комунальної власності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Місцевий бюджет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2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9</w:t>
            </w:r>
            <w:r>
              <w:rPr>
                <w:color w:val="000000"/>
                <w:sz w:val="24"/>
                <w:lang w:eastAsia="ru-RU"/>
              </w:rPr>
              <w:t xml:space="preserve">500,00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35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4133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1</w:t>
            </w:r>
            <w:r>
              <w:rPr>
                <w:rFonts w:eastAsia="Calibri"/>
                <w:b/>
                <w:color w:val="000000"/>
                <w:sz w:val="24"/>
                <w:lang w:val="ru-RU"/>
              </w:rPr>
              <w:t xml:space="preserve">31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13</w:t>
            </w:r>
            <w:r>
              <w:rPr>
                <w:rFonts w:eastAsia="Calibri"/>
                <w:b/>
                <w:color w:val="000000"/>
                <w:sz w:val="24"/>
                <w:lang w:val="ru-RU"/>
              </w:rPr>
              <w:t xml:space="preserve">73</w:t>
            </w:r>
            <w:r>
              <w:rPr>
                <w:rFonts w:eastAsia="Calibri"/>
                <w:b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single" w:color="000000" w:sz="4" w:space="0"/>
              <w:top w:val="single" w:color="000000" w:sz="8" w:space="0"/>
              <w:right w:val="none" w:color="FFFFFF" w:sz="255" w:space="0"/>
              <w:bottom w:val="single" w:color="000000" w:sz="4" w:space="0"/>
            </w:tcBorders>
            <w:tcW w:w="138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14</w:t>
            </w:r>
            <w:r>
              <w:rPr>
                <w:rFonts w:eastAsia="Calibri"/>
                <w:b/>
                <w:color w:val="000000"/>
                <w:sz w:val="24"/>
                <w:lang w:val="ru-RU"/>
              </w:rPr>
              <w:t xml:space="preserve">5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gridSpan w:val="9"/>
            <w:tcW w:w="153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2. Підвищення рівня безпеки дорожнього руху</w:t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tabs>
          <w:tab w:val="left" w:pos="113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/>
    </w:p>
    <w:p>
      <w:pPr>
        <w:tabs>
          <w:tab w:val="left" w:pos="113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t xml:space="preserve">Продовження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додатка</w:t>
      </w:r>
      <w:r>
        <w:rPr>
          <w:sz w:val="28"/>
          <w:szCs w:val="28"/>
          <w:lang w:val="ru-RU"/>
        </w:rPr>
        <w:t xml:space="preserve"> 1</w:t>
      </w:r>
      <w:r/>
    </w:p>
    <w:tbl>
      <w:tblPr>
        <w:tblW w:w="15310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551"/>
        <w:gridCol w:w="1134"/>
        <w:gridCol w:w="1225"/>
        <w:gridCol w:w="1387"/>
        <w:gridCol w:w="1387"/>
        <w:gridCol w:w="1388"/>
        <w:gridCol w:w="2268"/>
      </w:tblGrid>
      <w:tr>
        <w:trPr>
          <w:trHeight w:val="2362"/>
        </w:trPr>
        <w:tc>
          <w:tcPr>
            <w:tcBorders>
              <w:bottom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  <w:shd w:val="clear" w:fill="FFFFFF" w:color="auto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1.В</w:t>
            </w: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становлення дорожніх знаків у разі їх відсутності та заміна знаків, які не відповідають стандарту ДСТУ 4100:2014;</w:t>
            </w:r>
            <w:r/>
          </w:p>
          <w:p>
            <w:pPr>
              <w:rPr>
                <w:rFonts w:eastAsia="Calibri"/>
                <w:color w:val="000000"/>
                <w:sz w:val="24"/>
                <w:shd w:val="clear" w:fill="FFFFFF" w:color="auto"/>
              </w:rPr>
            </w:pP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Закупівля елементів примусового зниження швидкості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Borders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20,00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</w:t>
            </w:r>
            <w:r>
              <w:rPr>
                <w:rFonts w:eastAsia="Calibri"/>
                <w:sz w:val="24"/>
                <w:lang w:val="ru-RU"/>
              </w:rPr>
              <w:t xml:space="preserve">17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>
          <w:trHeight w:val="828"/>
        </w:trPr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2.Будівництво світлофорних об’єктів в м. 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Мена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Державний бюджет, 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400,00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-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3.Нанесення дорожньої розмітки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3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1</w:t>
            </w:r>
            <w:r>
              <w:rPr>
                <w:rFonts w:eastAsia="Calibri"/>
                <w:sz w:val="24"/>
                <w:lang w:val="ru-RU"/>
              </w:rPr>
              <w:t xml:space="preserve">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2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>
          <w:trHeight w:val="1424"/>
        </w:trPr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bCs/>
                <w:spacing w:val="-4"/>
                <w:sz w:val="24"/>
                <w:szCs w:val="28"/>
                <w:shd w:val="clear" w:fill="FFFFFF" w:color="auto"/>
              </w:rPr>
            </w:pPr>
            <w:r>
              <w:rPr>
                <w:color w:val="000000"/>
                <w:sz w:val="24"/>
                <w:lang w:eastAsia="ru-RU"/>
              </w:rPr>
              <w:t xml:space="preserve">4.Забезпечення утримання в належному технічному стані об’єктів дорожнього господарства (придбання солі, піску)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1</w:t>
            </w:r>
            <w:r>
              <w:rPr>
                <w:rFonts w:eastAsia="Calibri"/>
                <w:b/>
                <w:sz w:val="24"/>
                <w:lang w:val="ru-RU"/>
              </w:rPr>
              <w:t xml:space="preserve">56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55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58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43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>
          <w:trHeight w:val="1001"/>
        </w:trPr>
        <w:tc>
          <w:tcPr>
            <w:tcW w:w="2836" w:type="dxa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програмою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Державний бюджет, 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4289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1365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1</w:t>
            </w:r>
            <w:r>
              <w:rPr>
                <w:rFonts w:eastAsia="Calibri"/>
                <w:b/>
                <w:sz w:val="24"/>
                <w:lang w:val="ru-RU"/>
              </w:rPr>
              <w:t xml:space="preserve">431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1</w:t>
            </w:r>
            <w:r>
              <w:rPr>
                <w:rFonts w:eastAsia="Calibri"/>
                <w:b/>
                <w:sz w:val="24"/>
                <w:lang w:val="ru-RU"/>
              </w:rPr>
              <w:t xml:space="preserve">493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</w:tbl>
    <w:p>
      <w:pPr>
        <w:pStyle w:val="953"/>
        <w:contextualSpacing w:val="false"/>
        <w:ind w:left="0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>
        <w:rPr>
          <w:rFonts w:ascii="Times New Roman" w:hAnsi="Times New Roman" w:cs="Times New Roman"/>
          <w:lang w:val="uk-UA"/>
        </w:rPr>
      </w:r>
      <w:r/>
    </w:p>
    <w:p>
      <w:pPr>
        <w:tabs>
          <w:tab w:val="left" w:pos="11339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  <w:tab/>
        <w:t xml:space="preserve">   Андрій ЮЩЕНКО</w:t>
      </w:r>
      <w:r/>
    </w:p>
    <w:sectPr>
      <w:headerReference w:type="default" r:id="rId10"/>
      <w:footnotePr/>
      <w:endnotePr/>
      <w:type w:val="nextPage"/>
      <w:pgSz w:w="16838" w:h="11906" w:orient="landscape"/>
      <w:pgMar w:top="851" w:right="1134" w:bottom="1417" w:left="1134" w:header="568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25441678"/>
      <w:docPartObj>
        <w:docPartGallery w:val="Page Numbers (Top of Page)"/>
        <w:docPartUnique w:val="true"/>
      </w:docPartObj>
      <w:rPr/>
    </w:sdtPr>
    <w:sdtContent>
      <w:p>
        <w:pPr>
          <w:pStyle w:val="782"/>
          <w:ind w:firstLine="4820"/>
          <w:tabs>
            <w:tab w:val="center" w:pos="4820" w:leader="none"/>
            <w:tab w:val="left" w:pos="6804" w:leader="none"/>
            <w:tab w:val="clear" w:pos="7143" w:leader="none"/>
          </w:tabs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ru-RU"/>
          </w:rPr>
          <w:t xml:space="preserve">6</w:t>
        </w:r>
        <w:r>
          <w:rPr>
            <w:sz w:val="28"/>
            <w:szCs w:val="28"/>
          </w:rPr>
          <w:fldChar w:fldCharType="end"/>
        </w:r>
        <w:r>
          <w:rPr>
            <w:lang w:val="ru-RU"/>
          </w:rPr>
          <w:tab/>
        </w:r>
        <w:r>
          <w:rPr>
            <w:sz w:val="28"/>
            <w:szCs w:val="28"/>
            <w:lang w:val="ru-RU"/>
          </w:rPr>
          <w:t xml:space="preserve">Продовження</w:t>
        </w:r>
        <w:r>
          <w:rPr>
            <w:sz w:val="28"/>
            <w:szCs w:val="28"/>
            <w:lang w:val="ru-RU"/>
          </w:rPr>
          <w:t xml:space="preserve"> </w:t>
        </w:r>
        <w:r>
          <w:rPr>
            <w:sz w:val="28"/>
            <w:szCs w:val="28"/>
            <w:lang w:val="ru-RU"/>
          </w:rPr>
          <w:t xml:space="preserve">додатка</w:t>
        </w:r>
        <w:r>
          <w:rPr>
            <w:lang w:val="ru-RU"/>
          </w:rPr>
          <w:tab/>
        </w:r>
        <w:r>
          <w:rPr>
            <w:lang w:val="ru-RU"/>
          </w:rPr>
          <w:tab/>
        </w:r>
        <w:r/>
      </w:p>
    </w:sdtContent>
  </w:sdt>
  <w:p>
    <w:pPr>
      <w:pStyle w:val="7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03111679"/>
      <w:docPartObj>
        <w:docPartGallery w:val="Page Numbers (Top of Page)"/>
        <w:docPartUnique w:val="true"/>
      </w:docPartObj>
      <w:rPr/>
    </w:sdtPr>
    <w:sdtContent>
      <w:p>
        <w:pPr>
          <w:pStyle w:val="782"/>
          <w:ind w:firstLine="7143"/>
          <w:tabs>
            <w:tab w:val="left" w:pos="11340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7</w:t>
        </w:r>
        <w:r>
          <w:fldChar w:fldCharType="end"/>
        </w:r>
        <w:r>
          <w:rPr>
            <w:lang w:val="ru-RU"/>
          </w:rPr>
          <w:tab/>
        </w:r>
        <w:r>
          <w:rPr>
            <w:sz w:val="28"/>
            <w:szCs w:val="28"/>
            <w:lang w:val="ru-RU"/>
          </w:rPr>
          <w:t xml:space="preserve">Продовження</w:t>
        </w:r>
        <w:r>
          <w:rPr>
            <w:sz w:val="28"/>
            <w:szCs w:val="28"/>
            <w:lang w:val="ru-RU"/>
          </w:rPr>
          <w:t xml:space="preserve"> </w:t>
        </w:r>
        <w:r>
          <w:rPr>
            <w:sz w:val="28"/>
            <w:szCs w:val="28"/>
            <w:lang w:val="ru-RU"/>
          </w:rPr>
          <w:t xml:space="preserve">додатка</w:t>
        </w:r>
        <w:r/>
      </w:p>
    </w:sdtContent>
  </w:sdt>
  <w:p>
    <w:pPr>
      <w:pStyle w:val="7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753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18"/>
  </w:num>
  <w:num w:numId="11">
    <w:abstractNumId w:val="7"/>
  </w:num>
  <w:num w:numId="12">
    <w:abstractNumId w:val="1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1 Char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731">
    <w:name w:val="Heading 3 Char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732">
    <w:name w:val="Heading 4 Char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33">
    <w:name w:val="Heading 5 Char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>
    <w:name w:val="Heading 6 Char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35">
    <w:name w:val="Heading 7 Char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>
    <w:name w:val="Heading 8 Char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37">
    <w:name w:val="Heading 9 Char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738">
    <w:name w:val="Title Char"/>
    <w:basedOn w:val="761"/>
    <w:link w:val="774"/>
    <w:uiPriority w:val="10"/>
    <w:rPr>
      <w:sz w:val="48"/>
      <w:szCs w:val="48"/>
    </w:rPr>
  </w:style>
  <w:style w:type="character" w:styleId="739">
    <w:name w:val="Subtitle Char"/>
    <w:basedOn w:val="761"/>
    <w:link w:val="776"/>
    <w:uiPriority w:val="11"/>
    <w:rPr>
      <w:sz w:val="24"/>
      <w:szCs w:val="24"/>
    </w:rPr>
  </w:style>
  <w:style w:type="character" w:styleId="740">
    <w:name w:val="Quote Char"/>
    <w:link w:val="778"/>
    <w:uiPriority w:val="29"/>
    <w:rPr>
      <w:i/>
    </w:rPr>
  </w:style>
  <w:style w:type="character" w:styleId="741">
    <w:name w:val="Intense Quote Char"/>
    <w:link w:val="780"/>
    <w:uiPriority w:val="30"/>
    <w:rPr>
      <w:i/>
    </w:rPr>
  </w:style>
  <w:style w:type="character" w:styleId="742">
    <w:name w:val="Header Char"/>
    <w:basedOn w:val="761"/>
    <w:link w:val="782"/>
    <w:uiPriority w:val="99"/>
  </w:style>
  <w:style w:type="character" w:styleId="743">
    <w:name w:val="Footer Char"/>
    <w:basedOn w:val="761"/>
    <w:link w:val="784"/>
    <w:uiPriority w:val="99"/>
  </w:style>
  <w:style w:type="paragraph" w:styleId="744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>
    <w:name w:val="Caption Char"/>
    <w:basedOn w:val="744"/>
    <w:link w:val="784"/>
    <w:uiPriority w:val="99"/>
  </w:style>
  <w:style w:type="character" w:styleId="746">
    <w:name w:val="Footnote Text Char"/>
    <w:link w:val="913"/>
    <w:uiPriority w:val="99"/>
    <w:rPr>
      <w:sz w:val="18"/>
    </w:rPr>
  </w:style>
  <w:style w:type="paragraph" w:styleId="747">
    <w:name w:val="endnote text"/>
    <w:basedOn w:val="751"/>
    <w:link w:val="748"/>
    <w:uiPriority w:val="99"/>
    <w:semiHidden/>
    <w:unhideWhenUsed/>
    <w:rPr>
      <w:sz w:val="20"/>
    </w:rPr>
    <w:pPr>
      <w:spacing w:lineRule="auto" w:line="240" w:after="0"/>
    </w:pPr>
  </w:style>
  <w:style w:type="character" w:styleId="748">
    <w:name w:val="Endnote Text Char"/>
    <w:link w:val="747"/>
    <w:uiPriority w:val="99"/>
    <w:rPr>
      <w:sz w:val="20"/>
    </w:rPr>
  </w:style>
  <w:style w:type="character" w:styleId="749">
    <w:name w:val="endnote reference"/>
    <w:basedOn w:val="761"/>
    <w:uiPriority w:val="99"/>
    <w:semiHidden/>
    <w:unhideWhenUsed/>
    <w:rPr>
      <w:vertAlign w:val="superscript"/>
    </w:rPr>
  </w:style>
  <w:style w:type="paragraph" w:styleId="750">
    <w:name w:val="table of figures"/>
    <w:basedOn w:val="751"/>
    <w:next w:val="751"/>
    <w:uiPriority w:val="99"/>
    <w:unhideWhenUsed/>
    <w:pPr>
      <w:spacing w:after="0" w:afterAutospacing="0"/>
    </w:pPr>
  </w:style>
  <w:style w:type="paragraph" w:styleId="751" w:default="1">
    <w:name w:val="Normal"/>
    <w:qFormat/>
  </w:style>
  <w:style w:type="paragraph" w:styleId="752">
    <w:name w:val="Heading 1"/>
    <w:link w:val="7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51"/>
    <w:next w:val="751"/>
    <w:link w:val="954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754">
    <w:name w:val="Heading 3"/>
    <w:link w:val="7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link w:val="7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link w:val="7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link w:val="76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8">
    <w:name w:val="Heading 7"/>
    <w:link w:val="7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9">
    <w:name w:val="Heading 8"/>
    <w:link w:val="77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0">
    <w:name w:val="Heading 9"/>
    <w:link w:val="7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Заголовок 1 Знак"/>
    <w:link w:val="752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uiPriority w:val="9"/>
    <w:rPr>
      <w:rFonts w:ascii="Arial" w:hAnsi="Arial" w:cs="Arial" w:eastAsia="Arial"/>
      <w:sz w:val="34"/>
    </w:rPr>
  </w:style>
  <w:style w:type="character" w:styleId="766" w:customStyle="1">
    <w:name w:val="Заголовок 3 Знак"/>
    <w:link w:val="754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Заголовок 4 Знак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Заголовок 5 Знак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Заголовок 6 Знак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Заголовок 7 Знак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Заголовок 8 Знак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Заголовок 9 Знак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773">
    <w:name w:val="No Spacing"/>
    <w:qFormat/>
    <w:uiPriority w:val="1"/>
  </w:style>
  <w:style w:type="paragraph" w:styleId="774">
    <w:name w:val="Title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 w:customStyle="1">
    <w:name w:val="Название Знак"/>
    <w:link w:val="774"/>
    <w:uiPriority w:val="10"/>
    <w:rPr>
      <w:sz w:val="48"/>
      <w:szCs w:val="48"/>
    </w:rPr>
  </w:style>
  <w:style w:type="paragraph" w:styleId="776">
    <w:name w:val="Subtitle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 w:customStyle="1">
    <w:name w:val="Подзаголовок Знак"/>
    <w:link w:val="776"/>
    <w:uiPriority w:val="11"/>
    <w:rPr>
      <w:sz w:val="24"/>
      <w:szCs w:val="24"/>
    </w:rPr>
  </w:style>
  <w:style w:type="paragraph" w:styleId="778">
    <w:name w:val="Quote"/>
    <w:link w:val="779"/>
    <w:qFormat/>
    <w:uiPriority w:val="29"/>
    <w:rPr>
      <w:i/>
    </w:rPr>
    <w:pPr>
      <w:ind w:left="720" w:right="720"/>
    </w:pPr>
  </w:style>
  <w:style w:type="character" w:styleId="779" w:customStyle="1">
    <w:name w:val="Цитата 2 Знак"/>
    <w:link w:val="778"/>
    <w:uiPriority w:val="29"/>
    <w:rPr>
      <w:i/>
    </w:rPr>
  </w:style>
  <w:style w:type="paragraph" w:styleId="780">
    <w:name w:val="Intense Quote"/>
    <w:link w:val="7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 w:customStyle="1">
    <w:name w:val="Выделенная цитата Знак"/>
    <w:link w:val="780"/>
    <w:uiPriority w:val="30"/>
    <w:rPr>
      <w:i/>
    </w:rPr>
  </w:style>
  <w:style w:type="paragraph" w:styleId="782">
    <w:name w:val="Header"/>
    <w:link w:val="7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3" w:customStyle="1">
    <w:name w:val="Верхний колонтитул Знак"/>
    <w:link w:val="782"/>
    <w:uiPriority w:val="99"/>
  </w:style>
  <w:style w:type="paragraph" w:styleId="784">
    <w:name w:val="Footer"/>
    <w:link w:val="7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5" w:customStyle="1">
    <w:name w:val="Нижний колонтитул Знак"/>
    <w:link w:val="784"/>
    <w:uiPriority w:val="99"/>
  </w:style>
  <w:style w:type="table" w:styleId="786">
    <w:name w:val="Table Grid"/>
    <w:basedOn w:val="762"/>
    <w:rPr>
      <w:rFonts w:ascii="Calibri" w:hAnsi="Calibri" w:eastAsia="Calibri"/>
      <w:sz w:val="22"/>
      <w:lang w:val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3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4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5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6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7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8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9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0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1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2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3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4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2">
    <w:name w:val="Hyperlink"/>
    <w:uiPriority w:val="99"/>
    <w:unhideWhenUsed/>
    <w:rPr>
      <w:color w:val="0000FF" w:themeColor="hyperlink"/>
      <w:u w:val="single"/>
    </w:rPr>
  </w:style>
  <w:style w:type="paragraph" w:styleId="913">
    <w:name w:val="footnote text"/>
    <w:link w:val="914"/>
    <w:uiPriority w:val="99"/>
    <w:semiHidden/>
    <w:unhideWhenUsed/>
    <w:rPr>
      <w:sz w:val="18"/>
    </w:rPr>
    <w:pPr>
      <w:spacing w:after="40"/>
    </w:pPr>
  </w:style>
  <w:style w:type="character" w:styleId="914" w:customStyle="1">
    <w:name w:val="Текст сноски Знак"/>
    <w:link w:val="913"/>
    <w:uiPriority w:val="99"/>
    <w:rPr>
      <w:sz w:val="18"/>
    </w:rPr>
  </w:style>
  <w:style w:type="character" w:styleId="915">
    <w:name w:val="footnote reference"/>
    <w:uiPriority w:val="99"/>
    <w:unhideWhenUsed/>
    <w:rPr>
      <w:vertAlign w:val="superscript"/>
    </w:rPr>
  </w:style>
  <w:style w:type="paragraph" w:styleId="916">
    <w:name w:val="toc 1"/>
    <w:uiPriority w:val="39"/>
    <w:unhideWhenUsed/>
    <w:pPr>
      <w:spacing w:after="57"/>
    </w:pPr>
  </w:style>
  <w:style w:type="paragraph" w:styleId="917">
    <w:name w:val="toc 2"/>
    <w:uiPriority w:val="39"/>
    <w:unhideWhenUsed/>
    <w:pPr>
      <w:ind w:left="283"/>
      <w:spacing w:after="57"/>
    </w:pPr>
  </w:style>
  <w:style w:type="paragraph" w:styleId="918">
    <w:name w:val="toc 3"/>
    <w:uiPriority w:val="39"/>
    <w:unhideWhenUsed/>
    <w:pPr>
      <w:ind w:left="567"/>
      <w:spacing w:after="57"/>
    </w:pPr>
  </w:style>
  <w:style w:type="paragraph" w:styleId="919">
    <w:name w:val="toc 4"/>
    <w:uiPriority w:val="39"/>
    <w:unhideWhenUsed/>
    <w:pPr>
      <w:ind w:left="850"/>
      <w:spacing w:after="57"/>
    </w:pPr>
  </w:style>
  <w:style w:type="paragraph" w:styleId="920">
    <w:name w:val="toc 5"/>
    <w:uiPriority w:val="39"/>
    <w:unhideWhenUsed/>
    <w:pPr>
      <w:ind w:left="1134"/>
      <w:spacing w:after="57"/>
    </w:pPr>
  </w:style>
  <w:style w:type="paragraph" w:styleId="921">
    <w:name w:val="toc 6"/>
    <w:uiPriority w:val="39"/>
    <w:unhideWhenUsed/>
    <w:pPr>
      <w:ind w:left="1417"/>
      <w:spacing w:after="57"/>
    </w:pPr>
  </w:style>
  <w:style w:type="paragraph" w:styleId="922">
    <w:name w:val="toc 7"/>
    <w:uiPriority w:val="39"/>
    <w:unhideWhenUsed/>
    <w:pPr>
      <w:ind w:left="1701"/>
      <w:spacing w:after="57"/>
    </w:pPr>
  </w:style>
  <w:style w:type="paragraph" w:styleId="923">
    <w:name w:val="toc 8"/>
    <w:uiPriority w:val="39"/>
    <w:unhideWhenUsed/>
    <w:pPr>
      <w:ind w:left="1984"/>
      <w:spacing w:after="57"/>
    </w:pPr>
  </w:style>
  <w:style w:type="paragraph" w:styleId="924">
    <w:name w:val="toc 9"/>
    <w:uiPriority w:val="39"/>
    <w:unhideWhenUsed/>
    <w:pPr>
      <w:ind w:left="2268"/>
      <w:spacing w:after="57"/>
    </w:pPr>
  </w:style>
  <w:style w:type="paragraph" w:styleId="925">
    <w:name w:val="TOC Heading"/>
    <w:uiPriority w:val="39"/>
    <w:unhideWhenUsed/>
  </w:style>
  <w:style w:type="character" w:styleId="926" w:customStyle="1">
    <w:name w:val="WW8Num3z0"/>
    <w:rPr>
      <w:rFonts w:ascii="Symbol" w:hAnsi="Symbol"/>
    </w:rPr>
  </w:style>
  <w:style w:type="character" w:styleId="927" w:customStyle="1">
    <w:name w:val="Основной шрифт абзаца3"/>
  </w:style>
  <w:style w:type="character" w:styleId="928" w:customStyle="1">
    <w:name w:val="Absatz-Standardschriftart"/>
  </w:style>
  <w:style w:type="character" w:styleId="929" w:customStyle="1">
    <w:name w:val="Основной шрифт абзаца2"/>
  </w:style>
  <w:style w:type="character" w:styleId="930" w:customStyle="1">
    <w:name w:val="WW-Absatz-Standardschriftart"/>
  </w:style>
  <w:style w:type="character" w:styleId="931" w:customStyle="1">
    <w:name w:val="WW-Absatz-Standardschriftart1"/>
  </w:style>
  <w:style w:type="character" w:styleId="932" w:customStyle="1">
    <w:name w:val="WW8Num2z0"/>
    <w:rPr>
      <w:rFonts w:ascii="Symbol" w:hAnsi="Symbol"/>
    </w:rPr>
  </w:style>
  <w:style w:type="character" w:styleId="933" w:customStyle="1">
    <w:name w:val="WW8Num2z1"/>
    <w:rPr>
      <w:rFonts w:ascii="Courier New" w:hAnsi="Courier New"/>
    </w:rPr>
  </w:style>
  <w:style w:type="character" w:styleId="934" w:customStyle="1">
    <w:name w:val="WW8Num2z2"/>
    <w:rPr>
      <w:rFonts w:ascii="Wingdings" w:hAnsi="Wingdings"/>
    </w:rPr>
  </w:style>
  <w:style w:type="character" w:styleId="935" w:customStyle="1">
    <w:name w:val="WW8Num3z1"/>
    <w:rPr>
      <w:rFonts w:ascii="Courier New" w:hAnsi="Courier New"/>
    </w:rPr>
  </w:style>
  <w:style w:type="character" w:styleId="936" w:customStyle="1">
    <w:name w:val="WW8Num3z2"/>
    <w:rPr>
      <w:rFonts w:ascii="Wingdings" w:hAnsi="Wingdings"/>
    </w:rPr>
  </w:style>
  <w:style w:type="character" w:styleId="937" w:customStyle="1">
    <w:name w:val="Основной шрифт абзаца1"/>
  </w:style>
  <w:style w:type="character" w:styleId="938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39" w:customStyle="1">
    <w:name w:val="Текст выноски Знак"/>
    <w:rPr>
      <w:rFonts w:ascii="Segoe UI" w:hAnsi="Segoe UI"/>
      <w:sz w:val="18"/>
      <w:szCs w:val="18"/>
    </w:rPr>
  </w:style>
  <w:style w:type="character" w:styleId="940" w:customStyle="1">
    <w:name w:val="Символ нумерации"/>
  </w:style>
  <w:style w:type="paragraph" w:styleId="941" w:customStyle="1">
    <w:name w:val="Заголовок"/>
    <w:basedOn w:val="751"/>
    <w:next w:val="942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2">
    <w:name w:val="Body Text"/>
    <w:basedOn w:val="751"/>
    <w:pPr>
      <w:spacing w:after="120"/>
    </w:pPr>
  </w:style>
  <w:style w:type="paragraph" w:styleId="943">
    <w:name w:val="List"/>
    <w:basedOn w:val="942"/>
  </w:style>
  <w:style w:type="paragraph" w:styleId="944" w:customStyle="1">
    <w:name w:val="Название1"/>
    <w:basedOn w:val="751"/>
    <w:rPr>
      <w:i/>
      <w:iCs/>
      <w:sz w:val="24"/>
      <w:szCs w:val="24"/>
    </w:rPr>
    <w:pPr>
      <w:spacing w:after="120" w:before="120"/>
    </w:pPr>
  </w:style>
  <w:style w:type="paragraph" w:styleId="945" w:customStyle="1">
    <w:name w:val="Указатель1"/>
    <w:basedOn w:val="751"/>
  </w:style>
  <w:style w:type="paragraph" w:styleId="946" w:customStyle="1">
    <w:name w:val="Название объекта2"/>
    <w:basedOn w:val="751"/>
    <w:rPr>
      <w:i/>
      <w:iCs/>
      <w:sz w:val="24"/>
      <w:szCs w:val="24"/>
    </w:rPr>
    <w:pPr>
      <w:spacing w:after="120" w:before="120"/>
    </w:pPr>
  </w:style>
  <w:style w:type="paragraph" w:styleId="947" w:customStyle="1">
    <w:name w:val="Покажчик"/>
    <w:basedOn w:val="751"/>
  </w:style>
  <w:style w:type="paragraph" w:styleId="948" w:customStyle="1">
    <w:name w:val="Название объекта1"/>
    <w:basedOn w:val="751"/>
    <w:rPr>
      <w:i/>
      <w:iCs/>
      <w:sz w:val="24"/>
      <w:szCs w:val="24"/>
    </w:rPr>
    <w:pPr>
      <w:spacing w:after="120" w:before="120"/>
    </w:pPr>
  </w:style>
  <w:style w:type="paragraph" w:styleId="949" w:customStyle="1">
    <w:name w:val="Обычный (веб)1"/>
    <w:basedOn w:val="751"/>
    <w:rPr>
      <w:color w:val="000099"/>
      <w:sz w:val="24"/>
    </w:rPr>
    <w:pPr>
      <w:ind w:firstLine="450"/>
    </w:pPr>
  </w:style>
  <w:style w:type="paragraph" w:styleId="950" w:customStyle="1">
    <w:name w:val="Стандартный HTML1"/>
    <w:basedOn w:val="751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1" w:customStyle="1">
    <w:name w:val="Текст выноски1"/>
    <w:basedOn w:val="751"/>
    <w:rPr>
      <w:rFonts w:ascii="Segoe UI" w:hAnsi="Segoe UI"/>
      <w:sz w:val="18"/>
      <w:szCs w:val="18"/>
    </w:rPr>
  </w:style>
  <w:style w:type="paragraph" w:styleId="952">
    <w:name w:val="Normal (Web)"/>
    <w:basedOn w:val="751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53">
    <w:name w:val="List Paragraph"/>
    <w:basedOn w:val="751"/>
    <w:rPr>
      <w:rFonts w:ascii="Calibri" w:hAnsi="Calibri" w:eastAsia="Calibri"/>
      <w:color w:val="00000A"/>
      <w:sz w:val="22"/>
    </w:rPr>
    <w:pPr>
      <w:ind w:left="720"/>
      <w:spacing w:lineRule="auto" w:line="276" w:after="200"/>
    </w:pPr>
  </w:style>
  <w:style w:type="character" w:styleId="954" w:customStyle="1">
    <w:name w:val="Заголовок 2 Знак"/>
    <w:link w:val="753"/>
    <w:rPr>
      <w:b/>
      <w:bCs/>
      <w:iCs/>
      <w:sz w:val="28"/>
      <w:szCs w:val="28"/>
      <w:lang w:val="en-US" w:eastAsia="ar-SA"/>
    </w:rPr>
  </w:style>
  <w:style w:type="paragraph" w:styleId="955" w:customStyle="1">
    <w:name w:val="Знак Знак Знак Знак Знак"/>
    <w:basedOn w:val="751"/>
    <w:rPr>
      <w:rFonts w:ascii="Verdana" w:hAnsi="Verdana"/>
      <w:sz w:val="20"/>
      <w:szCs w:val="20"/>
      <w:lang w:val="en-US"/>
    </w:rPr>
  </w:style>
  <w:style w:type="table" w:styleId="956" w:customStyle="1">
    <w:name w:val="Сетка таблицы1"/>
    <w:basedOn w:val="762"/>
    <w:next w:val="786"/>
    <w:rPr>
      <w:rFonts w:ascii="Calibri" w:hAnsi="Calibri" w:eastAsia="Calibri"/>
      <w:sz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57">
    <w:name w:val="Balloon Text"/>
    <w:basedOn w:val="751"/>
    <w:link w:val="958"/>
    <w:uiPriority w:val="99"/>
    <w:semiHidden/>
    <w:unhideWhenUsed/>
    <w:rPr>
      <w:rFonts w:ascii="Tahoma" w:hAnsi="Tahoma" w:cs="Tahoma"/>
      <w:sz w:val="16"/>
      <w:szCs w:val="16"/>
    </w:rPr>
  </w:style>
  <w:style w:type="character" w:styleId="958" w:customStyle="1">
    <w:name w:val="Текст выноски Знак1"/>
    <w:basedOn w:val="761"/>
    <w:link w:val="95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Ілюшкіна Даря Валеріївна</cp:lastModifiedBy>
  <cp:revision>15</cp:revision>
  <dcterms:created xsi:type="dcterms:W3CDTF">2021-11-08T14:49:00Z</dcterms:created>
  <dcterms:modified xsi:type="dcterms:W3CDTF">2021-12-10T08:52:01Z</dcterms:modified>
</cp:coreProperties>
</file>