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hanging="5"/>
        <w:jc w:val="lef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Додаток </w:t>
      </w:r>
      <w:r/>
    </w:p>
    <w:p>
      <w:pPr>
        <w:ind w:left="5669" w:right="0" w:hanging="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рішення  15 сесії Менської міської ради 8 скликання</w:t>
      </w:r>
      <w:r/>
    </w:p>
    <w:p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Cs/>
          <w:iCs/>
          <w:sz w:val="28"/>
          <w:szCs w:val="28"/>
          <w:lang w:eastAsia="ru-RU"/>
        </w:rPr>
        <w:t xml:space="preserve">09 грудня 2021 року № 782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ПРОГРАМА</w:t>
      </w:r>
      <w:r/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розвитку фізичної культури і спорту в Менській </w:t>
      </w:r>
      <w:r>
        <w:rPr>
          <w:rFonts w:ascii="Times New Roman" w:hAnsi="Times New Roman"/>
          <w:b/>
          <w:sz w:val="36"/>
          <w:szCs w:val="36"/>
        </w:rPr>
        <w:t xml:space="preserve">міськ</w:t>
      </w:r>
      <w:r>
        <w:rPr>
          <w:rFonts w:ascii="Times New Roman" w:hAnsi="Times New Roman"/>
          <w:b/>
          <w:sz w:val="36"/>
          <w:szCs w:val="36"/>
        </w:rPr>
        <w:t xml:space="preserve">ій територіальній громаді на 202</w:t>
      </w:r>
      <w:r>
        <w:rPr>
          <w:rFonts w:ascii="Times New Roman" w:hAnsi="Times New Roman"/>
          <w:b/>
          <w:sz w:val="36"/>
          <w:szCs w:val="36"/>
        </w:rPr>
        <w:t xml:space="preserve">2-2024</w:t>
      </w:r>
      <w:r>
        <w:rPr>
          <w:rFonts w:ascii="Times New Roman" w:hAnsi="Times New Roman"/>
          <w:b/>
          <w:sz w:val="36"/>
          <w:szCs w:val="36"/>
        </w:rPr>
        <w:t xml:space="preserve"> роки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м.Мена</w:t>
      </w:r>
      <w:r/>
    </w:p>
    <w:p>
      <w:pPr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2021</w:t>
      </w:r>
      <w:r>
        <w:rPr>
          <w:rFonts w:ascii="Times New Roman" w:hAnsi="Times New Roman"/>
          <w:sz w:val="28"/>
          <w:szCs w:val="28"/>
        </w:rPr>
        <w:t xml:space="preserve"> рік</w:t>
      </w:r>
      <w:r/>
    </w:p>
    <w:p>
      <w:pPr>
        <w:jc w:val="center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jc w:val="center"/>
        <w:spacing w:lineRule="auto" w:line="276" w:after="2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ЗАГАЛЬНА ХАРАКТЕРИСТИКА</w:t>
      </w:r>
      <w:r/>
    </w:p>
    <w:tbl>
      <w:tblPr>
        <w:tblStyle w:val="86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5069"/>
      </w:tblGrid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Ініціатор розроблення Програми</w:t>
            </w:r>
            <w:r/>
          </w:p>
        </w:tc>
        <w:tc>
          <w:tcPr>
            <w:tcW w:w="5069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Розробник Програми</w:t>
            </w:r>
            <w:r/>
          </w:p>
        </w:tc>
        <w:tc>
          <w:tcPr>
            <w:tcW w:w="5069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Менська міська рада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Виконавець Програми</w:t>
            </w:r>
            <w:r/>
          </w:p>
        </w:tc>
        <w:tc>
          <w:tcPr>
            <w:tcW w:w="5069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фізичної культури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спорту Менської міської ради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W w:w="5069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Менська міська рада, сектор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зичної культури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спорту Менської міської ради, відділ освіти Менської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заклади освіти Менської міської ради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Термін реалізації Програми</w:t>
            </w:r>
            <w:r/>
          </w:p>
        </w:tc>
        <w:tc>
          <w:tcPr>
            <w:tcW w:w="506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– 2024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роки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Перелік бюджетів, задіяних у виконання Програми</w:t>
            </w:r>
            <w:r/>
          </w:p>
        </w:tc>
        <w:tc>
          <w:tcPr>
            <w:tcW w:w="5069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Менської міської територіальної громади, інші місцеві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також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інші джерела фінансування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заборонені законодавством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обсяг фінансових ресурсів, необхідних для реалізації Програми, тис. грн.</w:t>
            </w:r>
            <w:r/>
          </w:p>
        </w:tc>
        <w:tc>
          <w:tcPr>
            <w:tcW w:w="506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Всього: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1254,2</w:t>
            </w:r>
            <w:r/>
          </w:p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роках: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рік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349,6</w:t>
            </w:r>
            <w:r/>
          </w:p>
          <w:p>
            <w:pPr>
              <w:ind w:left="13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рік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412,7</w:t>
            </w:r>
            <w:r/>
          </w:p>
          <w:p>
            <w:pPr>
              <w:ind w:left="13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рік  -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491,9</w:t>
            </w:r>
            <w:r/>
          </w:p>
        </w:tc>
      </w:tr>
      <w:tr>
        <w:trPr/>
        <w:tc>
          <w:tcPr>
            <w:tcW w:w="534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W w:w="4251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Джерела фінансування</w:t>
            </w:r>
            <w:r/>
          </w:p>
        </w:tc>
        <w:tc>
          <w:tcPr>
            <w:tcW w:w="5069" w:type="dxa"/>
            <w:textDirection w:val="lrTb"/>
            <w:noWrap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Менської міської територіальної громади, інші місцеві бюджети, а також інші джерела фінансування, не заборонені законодавством</w:t>
            </w:r>
            <w:r/>
          </w:p>
        </w:tc>
      </w:tr>
    </w:tbl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hd w:val="ni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  <w:br w:type="page"/>
      </w:r>
      <w:r>
        <w:rPr>
          <w:rFonts w:ascii="Times New Roman" w:hAnsi="Times New Roman"/>
          <w:b/>
          <w:sz w:val="28"/>
          <w:szCs w:val="28"/>
          <w:highlight w:val="none"/>
        </w:rPr>
      </w:r>
    </w:p>
    <w:p>
      <w:pPr>
        <w:jc w:val="center"/>
        <w:spacing w:after="142" w:afterAutospacing="0" w:before="142" w:beforeAutospacing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1. Визначення проблеми, на розв’язання якої спрямована Програма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Фізи</w:t>
      </w:r>
      <w:r>
        <w:rPr>
          <w:rFonts w:ascii="Times New Roman" w:hAnsi="Times New Roman"/>
          <w:sz w:val="28"/>
          <w:szCs w:val="28"/>
        </w:rPr>
        <w:t xml:space="preserve">чна культу</w:t>
      </w:r>
      <w:r>
        <w:rPr>
          <w:rFonts w:ascii="Times New Roman" w:hAnsi="Times New Roman"/>
          <w:sz w:val="28"/>
          <w:szCs w:val="28"/>
        </w:rPr>
        <w:t xml:space="preserve">ра та спорт є ефективним та найбільш економічним засобом профілактики захворюваності, зміцнення генофонду нації та розв’язання різних соціальних проблем. В той же час фізична культура і спорт є складовою частиною освітнього процесу підростаючого покоління.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Фізичні вправи відіграють важливу роль у зміцненні здоров’я людини, підвищення фізичних і функціональних можливостей її організму, забезпеченні повноцінного дозвілля, збереженні тривалості активного життя населення.  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У сучасних умовах в Україні склалася критична ситуація із станом здоров’я населення. Майже 70% дорослих громадян держави мають низький рівень фізичного здоров’я. В  Менській міській раді провод</w:t>
      </w:r>
      <w:r>
        <w:rPr>
          <w:rFonts w:ascii="Times New Roman" w:hAnsi="Times New Roman"/>
          <w:sz w:val="28"/>
          <w:szCs w:val="28"/>
        </w:rPr>
        <w:t xml:space="preserve">иться певна робота, спрямована на пок</w:t>
      </w:r>
      <w:r>
        <w:rPr>
          <w:rFonts w:ascii="Times New Roman" w:hAnsi="Times New Roman"/>
          <w:sz w:val="28"/>
          <w:szCs w:val="28"/>
        </w:rPr>
        <w:t xml:space="preserve">ращення умов розвитку масової фізичної культури і спорту, збереження всіх складових її діяльності. Проте рівень розвитку фізичного виховання, фізичної культури і спорту далеко не відповідає вимогам сьогодення і не може </w:t>
      </w:r>
      <w:r>
        <w:rPr>
          <w:rFonts w:ascii="Times New Roman" w:hAnsi="Times New Roman"/>
          <w:sz w:val="28"/>
          <w:szCs w:val="28"/>
        </w:rPr>
        <w:t xml:space="preserve">повністю </w:t>
      </w:r>
      <w:r>
        <w:rPr>
          <w:rFonts w:ascii="Times New Roman" w:hAnsi="Times New Roman"/>
          <w:sz w:val="28"/>
          <w:szCs w:val="28"/>
        </w:rPr>
        <w:t xml:space="preserve">задовольнити потреб населення громади.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Є потреба у масовій </w:t>
      </w:r>
      <w:r>
        <w:rPr>
          <w:rFonts w:ascii="Times New Roman" w:hAnsi="Times New Roman"/>
          <w:sz w:val="28"/>
          <w:szCs w:val="28"/>
        </w:rPr>
        <w:t xml:space="preserve"> пропаганд</w:t>
      </w:r>
      <w:r>
        <w:rPr>
          <w:rFonts w:ascii="Times New Roman" w:hAnsi="Times New Roman"/>
          <w:sz w:val="28"/>
          <w:szCs w:val="28"/>
        </w:rPr>
        <w:t xml:space="preserve">і</w:t>
      </w:r>
      <w:r>
        <w:rPr>
          <w:rFonts w:ascii="Times New Roman" w:hAnsi="Times New Roman"/>
          <w:sz w:val="28"/>
          <w:szCs w:val="28"/>
        </w:rPr>
        <w:t xml:space="preserve"> спорту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як невід’ємної і головної скл</w:t>
      </w:r>
      <w:r>
        <w:rPr>
          <w:rFonts w:ascii="Times New Roman" w:hAnsi="Times New Roman"/>
          <w:sz w:val="28"/>
          <w:szCs w:val="28"/>
        </w:rPr>
        <w:t xml:space="preserve">адов</w:t>
      </w:r>
      <w:r>
        <w:rPr>
          <w:rFonts w:ascii="Times New Roman" w:hAnsi="Times New Roman"/>
          <w:sz w:val="28"/>
          <w:szCs w:val="28"/>
        </w:rPr>
        <w:t xml:space="preserve">ої здорового способу життя, підвищення рівня і популяризації </w:t>
      </w:r>
      <w:r>
        <w:rPr>
          <w:rFonts w:ascii="Times New Roman" w:hAnsi="Times New Roman"/>
          <w:sz w:val="28"/>
          <w:szCs w:val="28"/>
        </w:rPr>
        <w:t xml:space="preserve">фізично</w:t>
      </w:r>
      <w:r>
        <w:rPr>
          <w:rFonts w:ascii="Times New Roman" w:hAnsi="Times New Roman"/>
          <w:sz w:val="28"/>
          <w:szCs w:val="28"/>
        </w:rPr>
        <w:t xml:space="preserve">го</w:t>
      </w:r>
      <w:r>
        <w:rPr>
          <w:rFonts w:ascii="Times New Roman" w:hAnsi="Times New Roman"/>
          <w:sz w:val="28"/>
          <w:szCs w:val="28"/>
        </w:rPr>
        <w:t xml:space="preserve"> вихованн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в сім’ях. 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Вищезазначені проблеми можливо розв’язати за умови ефективної підтримки з боку владних структур усіх рівнів, виділення необхідних коштів на проведення спортивних заходів, поліпшення матеріально-технічної бази сфери фізичної культури і спорту тощо.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Одним із </w:t>
      </w:r>
      <w:r>
        <w:rPr>
          <w:rFonts w:ascii="Times New Roman" w:hAnsi="Times New Roman"/>
          <w:sz w:val="28"/>
          <w:szCs w:val="28"/>
        </w:rPr>
        <w:t xml:space="preserve">основних заходів, що поліпшує стан здоров’я людини, запобігає розвитку різного роду захворювань – є формування у населення свідомого ставлення до свого здоров’я та здоров’я оточуючих. Адже у структурі факторів, що формують здоров’я на умови та спосіб життя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припадає майже 70 відсотків.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Звідси випливає гостра потреба у визначенні програмних підходів та пріоритетних напрямів розвитку фізичного виховання, фізичної культури і спорту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які б забезпечували ефективне функціонування галузі в сучасних умовах розвитку суспільства. 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Програма р</w:t>
      </w:r>
      <w:r>
        <w:rPr>
          <w:rFonts w:ascii="Times New Roman" w:hAnsi="Times New Roman"/>
          <w:sz w:val="28"/>
          <w:szCs w:val="28"/>
        </w:rPr>
        <w:t xml:space="preserve">озроблена відповідно до Закону України «Про фізичну культуру і спорт» і розрахована на 202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-202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роки, що дасть можливість виконати поставлені завдання згідно із сучасними потребами економічного та соціального розвитку </w:t>
      </w:r>
      <w:r>
        <w:rPr>
          <w:rFonts w:ascii="Times New Roman" w:hAnsi="Times New Roman"/>
          <w:sz w:val="28"/>
          <w:szCs w:val="28"/>
        </w:rPr>
        <w:t xml:space="preserve">громади</w:t>
      </w:r>
      <w:r>
        <w:rPr>
          <w:rFonts w:ascii="Times New Roman" w:hAnsi="Times New Roman"/>
          <w:sz w:val="28"/>
          <w:szCs w:val="28"/>
        </w:rPr>
        <w:t xml:space="preserve">. Програма повинна сприяти підвищенню авторитету фізичної культури і спорту в громаді</w:t>
      </w:r>
      <w:r>
        <w:rPr>
          <w:rFonts w:ascii="Times New Roman" w:hAnsi="Times New Roman"/>
          <w:sz w:val="28"/>
          <w:szCs w:val="28"/>
        </w:rPr>
        <w:t xml:space="preserve"> і їх розвитку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center"/>
        <w:spacing w:after="142" w:afterAutospacing="0" w:before="142" w:beforeAutospacing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2. Мета </w:t>
      </w:r>
      <w:r>
        <w:rPr>
          <w:rFonts w:ascii="Times New Roman" w:hAnsi="Times New Roman"/>
          <w:b/>
          <w:sz w:val="28"/>
          <w:szCs w:val="28"/>
        </w:rPr>
        <w:t xml:space="preserve">Програми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Метою Про</w:t>
      </w:r>
      <w:r>
        <w:rPr>
          <w:rFonts w:ascii="Times New Roman" w:hAnsi="Times New Roman"/>
          <w:sz w:val="28"/>
          <w:szCs w:val="28"/>
        </w:rPr>
        <w:t xml:space="preserve">грами є:</w:t>
      </w:r>
      <w:r/>
    </w:p>
    <w:p>
      <w:pPr>
        <w:ind w:left="0" w:right="0" w:firstLine="0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популяризація здорового способу життя, забезпечення розвитку таких напрямів фізичної культури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як фізичне виховання та масовий спорт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і створення умов для регулярної рухової активності різних верств населення з урахуванням інтересів, побажань, здібностей та індивідуальних особливостей кожного;</w:t>
      </w:r>
      <w:r/>
    </w:p>
    <w:p>
      <w:pPr>
        <w:ind w:left="0" w:right="0" w:firstLine="0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створення умов для залучення дітей, у тому числі і дітей з інвалідністю,  до занять фізичною культурою;</w:t>
      </w:r>
      <w:r/>
    </w:p>
    <w:p>
      <w:pPr>
        <w:ind w:left="0" w:right="0" w:firstLine="0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удосконалення системи морального і матеріального заохочення у сфері фізичної культури та спорту, стимулювання досягнення високих спортивних результатів;</w:t>
      </w:r>
      <w:r/>
    </w:p>
    <w:p>
      <w:pPr>
        <w:ind w:left="0" w:right="0" w:firstLine="0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створення цілісної системи взаємодії державних та громадських інституцій в реаліза</w:t>
      </w:r>
      <w:r>
        <w:rPr>
          <w:rFonts w:ascii="Times New Roman" w:hAnsi="Times New Roman"/>
          <w:sz w:val="28"/>
          <w:szCs w:val="28"/>
        </w:rPr>
        <w:t xml:space="preserve">ції державної політики у сфері фізичної культури і спорту.</w:t>
      </w:r>
      <w:r/>
    </w:p>
    <w:p>
      <w:pPr>
        <w:jc w:val="center"/>
        <w:spacing w:after="142" w:afterAutospacing="0" w:before="142" w:beforeAutospacing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3. Основні завдання 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t xml:space="preserve">та заходи Програми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Основними завданнями Програми є:</w:t>
      </w:r>
      <w:r/>
    </w:p>
    <w:p>
      <w:pPr>
        <w:ind w:left="0" w:right="0" w:firstLine="0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ст</w:t>
      </w:r>
      <w:r>
        <w:rPr>
          <w:rFonts w:ascii="Times New Roman" w:hAnsi="Times New Roman"/>
          <w:sz w:val="28"/>
          <w:szCs w:val="28"/>
        </w:rPr>
        <w:t xml:space="preserve">ворення умов для фізичного виховання, масового спорту, за місцем роботи, проживання та місцях масового відпочинку всіх верств населення;</w:t>
      </w:r>
      <w:r>
        <w:rPr>
          <w:rFonts w:ascii="Times New Roman" w:hAnsi="Times New Roman"/>
          <w:sz w:val="28"/>
        </w:rPr>
      </w:r>
    </w:p>
    <w:p>
      <w:pPr>
        <w:ind w:left="0" w:right="0" w:firstLine="0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забезпечення розвитку дитячо-юнацького спорту та спорту вищих досягнень;</w:t>
      </w:r>
      <w:r>
        <w:rPr>
          <w:rFonts w:ascii="Times New Roman" w:hAnsi="Times New Roman"/>
          <w:sz w:val="28"/>
        </w:rPr>
      </w:r>
    </w:p>
    <w:p>
      <w:pPr>
        <w:ind w:left="0" w:right="0" w:firstLine="0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забезпечення розвитку олімпійських та не олімпійських видів спорту, видів с</w:t>
      </w:r>
      <w:r>
        <w:rPr>
          <w:rFonts w:ascii="Times New Roman" w:hAnsi="Times New Roman"/>
          <w:sz w:val="28"/>
          <w:szCs w:val="28"/>
        </w:rPr>
        <w:t xml:space="preserve">порту </w:t>
      </w:r>
      <w:r>
        <w:rPr>
          <w:rFonts w:ascii="Times New Roman" w:hAnsi="Times New Roman"/>
          <w:sz w:val="28"/>
          <w:szCs w:val="28"/>
        </w:rPr>
        <w:t xml:space="preserve">інвалідів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Заходи щодо ре</w:t>
      </w:r>
      <w:r>
        <w:rPr>
          <w:rFonts w:ascii="Times New Roman" w:hAnsi="Times New Roman"/>
          <w:sz w:val="28"/>
          <w:szCs w:val="28"/>
        </w:rPr>
        <w:t xml:space="preserve">алізації Про</w:t>
      </w:r>
      <w:r>
        <w:rPr>
          <w:rFonts w:ascii="Times New Roman" w:hAnsi="Times New Roman"/>
          <w:sz w:val="28"/>
          <w:szCs w:val="28"/>
        </w:rPr>
        <w:t xml:space="preserve">грами вкладені в додатку до П</w:t>
      </w:r>
      <w:r>
        <w:rPr>
          <w:rFonts w:ascii="Times New Roman" w:hAnsi="Times New Roman"/>
          <w:sz w:val="28"/>
          <w:szCs w:val="28"/>
        </w:rPr>
        <w:t xml:space="preserve">рограми.</w:t>
      </w:r>
      <w:r/>
    </w:p>
    <w:p>
      <w:pPr>
        <w:jc w:val="center"/>
        <w:spacing w:after="142" w:afterAutospacing="0" w:before="142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Обґрунтування </w:t>
      </w:r>
      <w:r>
        <w:rPr>
          <w:rFonts w:ascii="Times New Roman" w:hAnsi="Times New Roman"/>
          <w:b/>
          <w:sz w:val="28"/>
          <w:szCs w:val="28"/>
        </w:rPr>
        <w:t xml:space="preserve">шляхів і засобів розв’язання проблем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Розв’язання проблем здійснюється зокрема</w:t>
      </w:r>
      <w:r>
        <w:rPr>
          <w:rFonts w:ascii="Times New Roman" w:hAnsi="Times New Roman"/>
          <w:sz w:val="28"/>
          <w:szCs w:val="28"/>
        </w:rPr>
        <w:t xml:space="preserve"> шляхом</w:t>
      </w:r>
      <w:r>
        <w:rPr>
          <w:sz w:val="28"/>
          <w:szCs w:val="28"/>
        </w:rPr>
        <w:t xml:space="preserve">:</w:t>
      </w:r>
      <w:r/>
    </w:p>
    <w:p>
      <w:pPr>
        <w:pStyle w:val="865"/>
        <w:numPr>
          <w:ilvl w:val="0"/>
          <w:numId w:val="1"/>
        </w:numPr>
        <w:ind w:left="0" w:right="0" w:firstLine="0"/>
        <w:jc w:val="both"/>
        <w:tabs>
          <w:tab w:val="left" w:pos="425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підтримання та розвит</w:t>
      </w:r>
      <w:r>
        <w:rPr>
          <w:rFonts w:ascii="Times New Roman" w:hAnsi="Times New Roman"/>
          <w:sz w:val="28"/>
          <w:szCs w:val="28"/>
        </w:rPr>
        <w:t xml:space="preserve">ку</w:t>
      </w:r>
      <w:r>
        <w:rPr>
          <w:rFonts w:ascii="Times New Roman" w:hAnsi="Times New Roman"/>
          <w:sz w:val="28"/>
          <w:szCs w:val="28"/>
        </w:rPr>
        <w:t xml:space="preserve"> олімпійського, не олімпійського, дефлімпійського та паралімпійського руху;</w:t>
      </w:r>
      <w:r/>
    </w:p>
    <w:p>
      <w:pPr>
        <w:pStyle w:val="865"/>
        <w:numPr>
          <w:ilvl w:val="0"/>
          <w:numId w:val="1"/>
        </w:numPr>
        <w:ind w:left="0" w:right="0" w:firstLine="0"/>
        <w:jc w:val="both"/>
        <w:tabs>
          <w:tab w:val="left" w:pos="425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взаємодія з громадськими організаціями фізкультурно-спортивної спрямованості та іншими суб’єктами сфери фізичної культури і спорту;</w:t>
      </w:r>
      <w:r/>
    </w:p>
    <w:p>
      <w:pPr>
        <w:pStyle w:val="865"/>
        <w:numPr>
          <w:ilvl w:val="0"/>
          <w:numId w:val="1"/>
        </w:numPr>
        <w:ind w:left="0" w:right="0" w:firstLine="0"/>
        <w:jc w:val="both"/>
        <w:tabs>
          <w:tab w:val="left" w:pos="425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поп</w:t>
      </w:r>
      <w:r>
        <w:rPr>
          <w:rFonts w:ascii="Times New Roman" w:hAnsi="Times New Roman"/>
          <w:sz w:val="28"/>
          <w:szCs w:val="28"/>
        </w:rPr>
        <w:t xml:space="preserve">уляризація здорового способу життя, подолання стану суспільної байдужості до здоров</w:t>
      </w:r>
      <w:r>
        <w:rPr>
          <w:rFonts w:cs="Microsoft Himalaya"/>
          <w:sz w:val="28"/>
          <w:szCs w:val="28"/>
        </w:rPr>
        <w:t xml:space="preserve">’</w:t>
      </w:r>
      <w:r>
        <w:rPr>
          <w:rFonts w:ascii="Times New Roman" w:hAnsi="Times New Roman"/>
          <w:sz w:val="28"/>
          <w:szCs w:val="28"/>
        </w:rPr>
        <w:t xml:space="preserve">я нації.</w:t>
      </w:r>
      <w:r/>
    </w:p>
    <w:p>
      <w:pPr>
        <w:jc w:val="center"/>
        <w:spacing w:after="142" w:afterAutospacing="0" w:before="142" w:beforeAutospacing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5. Очікувані результати, </w:t>
      </w: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t xml:space="preserve">ефективність Програми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Вико</w:t>
      </w:r>
      <w:r>
        <w:rPr>
          <w:rFonts w:ascii="Times New Roman" w:hAnsi="Times New Roman"/>
          <w:sz w:val="28"/>
          <w:szCs w:val="28"/>
        </w:rPr>
        <w:t xml:space="preserve">нання П</w:t>
      </w:r>
      <w:r>
        <w:rPr>
          <w:rFonts w:ascii="Times New Roman" w:hAnsi="Times New Roman"/>
          <w:sz w:val="28"/>
          <w:szCs w:val="28"/>
        </w:rPr>
        <w:t xml:space="preserve">рограми дасть можливість:</w:t>
      </w:r>
      <w:r/>
    </w:p>
    <w:p>
      <w:pPr>
        <w:pStyle w:val="865"/>
        <w:numPr>
          <w:ilvl w:val="0"/>
          <w:numId w:val="1"/>
        </w:numPr>
        <w:ind w:left="0" w:right="0" w:firstLine="0"/>
        <w:jc w:val="both"/>
        <w:tabs>
          <w:tab w:val="left" w:pos="425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залучати до змістовного дозвілля та відпочинку населення, насамперед молодь;</w:t>
      </w:r>
      <w:r>
        <w:rPr>
          <w:rFonts w:ascii="Times New Roman" w:hAnsi="Times New Roman"/>
          <w:sz w:val="28"/>
        </w:rPr>
      </w:r>
    </w:p>
    <w:p>
      <w:pPr>
        <w:pStyle w:val="865"/>
        <w:numPr>
          <w:ilvl w:val="0"/>
          <w:numId w:val="1"/>
        </w:numPr>
        <w:ind w:left="0" w:right="0" w:firstLine="0"/>
        <w:jc w:val="both"/>
        <w:tabs>
          <w:tab w:val="left" w:pos="425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збільшити обсяг рухової активності жителів громади;</w:t>
      </w:r>
      <w:r>
        <w:rPr>
          <w:rFonts w:ascii="Times New Roman" w:hAnsi="Times New Roman"/>
          <w:sz w:val="28"/>
        </w:rPr>
      </w:r>
    </w:p>
    <w:p>
      <w:pPr>
        <w:pStyle w:val="865"/>
        <w:numPr>
          <w:ilvl w:val="0"/>
          <w:numId w:val="1"/>
        </w:numPr>
        <w:ind w:left="0" w:right="0" w:firstLine="0"/>
        <w:jc w:val="both"/>
        <w:tabs>
          <w:tab w:val="left" w:pos="425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створити умови для розвитку резервного спорту та поповнення основного складу національних збірних команд;</w:t>
      </w:r>
      <w:r>
        <w:rPr>
          <w:rFonts w:ascii="Times New Roman" w:hAnsi="Times New Roman"/>
          <w:sz w:val="28"/>
        </w:rPr>
      </w:r>
    </w:p>
    <w:p>
      <w:pPr>
        <w:pStyle w:val="865"/>
        <w:numPr>
          <w:ilvl w:val="0"/>
          <w:numId w:val="1"/>
        </w:numPr>
        <w:ind w:left="0" w:right="0" w:firstLine="0"/>
        <w:jc w:val="both"/>
        <w:tabs>
          <w:tab w:val="left" w:pos="425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щороку зменшувати відсоток кількості населення, особливо дітей та молоді, віднесених за станом здоров’я до спеціальної медичної групи;</w:t>
      </w:r>
      <w:r>
        <w:rPr>
          <w:rFonts w:ascii="Times New Roman" w:hAnsi="Times New Roman"/>
          <w:sz w:val="28"/>
        </w:rPr>
      </w:r>
    </w:p>
    <w:p>
      <w:pPr>
        <w:pStyle w:val="865"/>
        <w:numPr>
          <w:ilvl w:val="0"/>
          <w:numId w:val="1"/>
        </w:numPr>
        <w:ind w:left="0" w:right="0" w:firstLine="0"/>
        <w:jc w:val="both"/>
        <w:tabs>
          <w:tab w:val="left" w:pos="425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привести стан спортивних об’єктів Менської міської ради у відповідність із сучасними стандартами, що надасть змогу забезпечити на спортивних спорудах мінімальний (науково обґрунтований) обсяг рухової активності громадян;</w:t>
      </w:r>
      <w:r>
        <w:rPr>
          <w:rFonts w:ascii="Times New Roman" w:hAnsi="Times New Roman"/>
          <w:sz w:val="28"/>
        </w:rPr>
      </w:r>
    </w:p>
    <w:p>
      <w:pPr>
        <w:pStyle w:val="865"/>
        <w:numPr>
          <w:ilvl w:val="0"/>
          <w:numId w:val="1"/>
        </w:numPr>
        <w:ind w:left="0" w:right="0" w:firstLine="0"/>
        <w:jc w:val="both"/>
        <w:tabs>
          <w:tab w:val="left" w:pos="425" w:leader="none"/>
          <w:tab w:val="left" w:pos="992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підви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щ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ити авторитет Менської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міськ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ої територіальної громади  у обласному, всеукраїнському спортивному співтоваристві.</w:t>
      </w:r>
      <w:r/>
    </w:p>
    <w:p>
      <w:pPr>
        <w:jc w:val="center"/>
        <w:spacing w:after="142" w:afterAutospacing="0" w:before="142" w:beforeAutospacing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6. Нагородження </w:t>
      </w:r>
      <w:r>
        <w:rPr>
          <w:rFonts w:ascii="Times New Roman" w:hAnsi="Times New Roman"/>
          <w:b/>
          <w:sz w:val="28"/>
          <w:szCs w:val="28"/>
        </w:rPr>
        <w:t xml:space="preserve">кращих </w:t>
      </w:r>
      <w:r>
        <w:rPr>
          <w:rFonts w:ascii="Times New Roman" w:hAnsi="Times New Roman"/>
          <w:b/>
          <w:sz w:val="28"/>
          <w:szCs w:val="28"/>
        </w:rPr>
        <w:t xml:space="preserve">спортсменів та тренерів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Для підвищення рівня престижності спорту на території громади, збільшення зацікавленості до занять фізичною культурою і спортом в кінці кожного </w:t>
      </w:r>
      <w:r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 xml:space="preserve">необхідно </w:t>
      </w:r>
      <w:r>
        <w:rPr>
          <w:rFonts w:ascii="Times New Roman" w:hAnsi="Times New Roman"/>
          <w:sz w:val="28"/>
          <w:szCs w:val="28"/>
        </w:rPr>
        <w:t xml:space="preserve">нагороджувати кращих спортсмені</w:t>
      </w:r>
      <w:r>
        <w:rPr>
          <w:rFonts w:ascii="Times New Roman" w:hAnsi="Times New Roman"/>
          <w:sz w:val="28"/>
          <w:szCs w:val="28"/>
        </w:rPr>
        <w:t xml:space="preserve">в, команд та тренерів Менської міської</w:t>
      </w:r>
      <w:r>
        <w:rPr>
          <w:rFonts w:ascii="Times New Roman" w:hAnsi="Times New Roman"/>
          <w:sz w:val="28"/>
          <w:szCs w:val="28"/>
        </w:rPr>
        <w:t xml:space="preserve"> територіальної громади з розрахунком участі у змаганнях різних рангів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затверджених Єдиною спортивною класифікацією України для визнаних видів спорту в Україні: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I ранг - Ігри Олімпіад, зимові Олімпійські ігри, Паралімпійські ігри, Дефлімпійські ігри, Всесвітні ігри;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/>
      <w:bookmarkStart w:id="0" w:name="n141"/>
      <w:r/>
      <w:bookmarkEnd w:id="0"/>
      <w:r>
        <w:rPr>
          <w:rFonts w:ascii="Times New Roman" w:hAnsi="Times New Roman"/>
          <w:sz w:val="28"/>
          <w:szCs w:val="28"/>
        </w:rPr>
        <w:t xml:space="preserve">II ранг - чемпіонати світу та Європи серед спортсменів усіх вікових груп, Глобальні ігри, роз</w:t>
      </w:r>
      <w:r>
        <w:rPr>
          <w:rFonts w:ascii="Times New Roman" w:hAnsi="Times New Roman"/>
          <w:sz w:val="28"/>
          <w:szCs w:val="28"/>
        </w:rPr>
        <w:t xml:space="preserve">іграші Кубків світу та Європи, Г</w:t>
      </w:r>
      <w:r>
        <w:rPr>
          <w:rFonts w:ascii="Times New Roman" w:hAnsi="Times New Roman"/>
          <w:sz w:val="28"/>
          <w:szCs w:val="28"/>
        </w:rPr>
        <w:t xml:space="preserve">ран-прі, Всесвітні шахові олімпіади, Всесвітні інтелектуальні ігри, Всесвітні іг</w:t>
      </w:r>
      <w:r>
        <w:rPr>
          <w:rFonts w:ascii="Times New Roman" w:hAnsi="Times New Roman"/>
          <w:sz w:val="28"/>
          <w:szCs w:val="28"/>
        </w:rPr>
        <w:t xml:space="preserve">ри з єдиноборств, Всесвітні ігри серед інвалідів, Юнацькі олімпійські ігри, Всесвітні Універсіади, Європейські спортивні ігри, інші міжнародні змагання, що включені до календарних планів міжнародних федерацій та федерацій інвалідів з відповідних нозологій;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/>
      <w:bookmarkStart w:id="1" w:name="n142"/>
      <w:r/>
      <w:bookmarkEnd w:id="1"/>
      <w:r>
        <w:rPr>
          <w:rFonts w:ascii="Times New Roman" w:hAnsi="Times New Roman"/>
          <w:sz w:val="28"/>
          <w:szCs w:val="28"/>
        </w:rPr>
        <w:t xml:space="preserve">III ранг - чемпіонати України, розіграші Кубків України, інші офіційні всеукраїнські змагання, що включені до Єдиного календарного плану фізкультурно-оздоровчих та спортивних заходів України, крім молодших вікових груп;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/>
      <w:bookmarkStart w:id="2" w:name="n143"/>
      <w:r/>
      <w:bookmarkEnd w:id="2"/>
      <w:r>
        <w:rPr>
          <w:rFonts w:ascii="Times New Roman" w:hAnsi="Times New Roman"/>
          <w:sz w:val="28"/>
          <w:szCs w:val="28"/>
        </w:rPr>
        <w:t xml:space="preserve">IV ранг - чемпіонати України, інші офіційні всеукраїнські змагання серед спортсменів молодших вікових груп, що включені до Єдиного календарного плану фізкультурно-оздоровчих та спортивних заходів України;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/>
      <w:bookmarkStart w:id="3" w:name="n144"/>
      <w:r/>
      <w:bookmarkEnd w:id="3"/>
      <w:r>
        <w:rPr>
          <w:rFonts w:ascii="Times New Roman" w:hAnsi="Times New Roman"/>
          <w:sz w:val="28"/>
          <w:szCs w:val="28"/>
        </w:rPr>
        <w:t xml:space="preserve">V ранг - чемпіонати областей, міст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Києва, фізкультурно-спортивних товариств (далі - ФСТ), крім молодших вікових груп, зональні змагання, що включені до відповідних календарних планів спортивних змагань;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highlight w:val="none"/>
        </w:rPr>
        <w:suppressLineNumbers w:val="0"/>
      </w:pPr>
      <w:r/>
      <w:bookmarkStart w:id="4" w:name="n145"/>
      <w:r/>
      <w:bookmarkEnd w:id="4"/>
      <w:r>
        <w:rPr>
          <w:rFonts w:ascii="Times New Roman" w:hAnsi="Times New Roman"/>
          <w:sz w:val="28"/>
          <w:szCs w:val="28"/>
        </w:rPr>
        <w:t xml:space="preserve">VI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ранг - чемпіонати областей, ФСТ серед спортсменів молодших вікових груп, чемпіонати міст, районів, спортивних клубів, дитячо-юнацьких </w:t>
      </w:r>
      <w:r>
        <w:rPr>
          <w:rFonts w:ascii="Times New Roman" w:hAnsi="Times New Roman"/>
          <w:sz w:val="28"/>
          <w:szCs w:val="28"/>
        </w:rPr>
        <w:t xml:space="preserve">спортивних шкіл, спеціалізованих навчальних закладів спортивного профілю та інші, що включені до</w:t>
      </w:r>
      <w:r>
        <w:rPr>
          <w:rFonts w:ascii="Times New Roman" w:hAnsi="Times New Roman"/>
          <w:sz w:val="28"/>
          <w:szCs w:val="28"/>
        </w:rPr>
        <w:t xml:space="preserve"> відповідних календарних планів спортивних змагань.</w:t>
      </w:r>
      <w:r/>
    </w:p>
    <w:p>
      <w:pPr>
        <w:ind w:firstLine="567"/>
        <w:jc w:val="both"/>
        <w:rPr>
          <w:rFonts w:ascii="Times New Roman" w:hAnsi="Times New Roman"/>
          <w:b/>
          <w:sz w:val="28"/>
          <w:szCs w:val="28"/>
        </w:rPr>
        <w:suppressLineNumbers w:val="0"/>
      </w:pPr>
      <w:r>
        <w:rPr>
          <w:rFonts w:ascii="Times New Roman" w:hAnsi="Times New Roman"/>
          <w:b/>
          <w:sz w:val="28"/>
          <w:szCs w:val="28"/>
        </w:rPr>
        <w:t xml:space="preserve">Розмір </w:t>
      </w:r>
      <w:r>
        <w:rPr>
          <w:rFonts w:ascii="Times New Roman" w:hAnsi="Times New Roman"/>
          <w:b/>
          <w:sz w:val="28"/>
          <w:szCs w:val="28"/>
        </w:rPr>
        <w:t xml:space="preserve">одноразової винагороди, що виплачується  за перемоги у змаганнях різного рангу: </w:t>
      </w:r>
      <w:r>
        <w:rPr>
          <w:rFonts w:ascii="Times New Roman" w:hAnsi="Times New Roman"/>
          <w:sz w:val="28"/>
          <w:szCs w:val="28"/>
        </w:rPr>
      </w:r>
      <w:r/>
    </w:p>
    <w:tbl>
      <w:tblPr>
        <w:tblStyle w:val="866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1867"/>
        <w:gridCol w:w="6261"/>
      </w:tblGrid>
      <w:tr>
        <w:trPr>
          <w:trHeight w:val="515"/>
        </w:trPr>
        <w:tc>
          <w:tcPr>
            <w:tcW w:w="16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Ранг змагань</w:t>
            </w:r>
            <w:r/>
          </w:p>
        </w:tc>
        <w:tc>
          <w:tcPr>
            <w:tcW w:w="186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Зайняті місця</w:t>
            </w:r>
            <w:r/>
          </w:p>
        </w:tc>
        <w:tc>
          <w:tcPr>
            <w:tcW w:w="626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Сума винагороди у грн з врахуванням податків та зборів/без врахування податків і зборів</w:t>
            </w:r>
            <w:r/>
          </w:p>
        </w:tc>
      </w:tr>
      <w:tr>
        <w:trPr>
          <w:trHeight w:val="304"/>
        </w:trPr>
        <w:tc>
          <w:tcPr>
            <w:tcW w:w="1642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</w:t>
            </w:r>
            <w:r/>
          </w:p>
        </w:tc>
        <w:tc>
          <w:tcPr>
            <w:tcBorders>
              <w:bottom w:val="single" w:sz="4" w:space="0" w:color="auto"/>
            </w:tcBorders>
            <w:tcW w:w="18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І-ІІІ</w:t>
            </w:r>
            <w:r/>
          </w:p>
        </w:tc>
        <w:tc>
          <w:tcPr>
            <w:tcBorders>
              <w:bottom w:val="single" w:sz="4" w:space="0" w:color="auto"/>
            </w:tcBorders>
            <w:tcW w:w="626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6211,18/5000,00</w:t>
            </w:r>
            <w:r/>
          </w:p>
        </w:tc>
      </w:tr>
      <w:tr>
        <w:trPr>
          <w:trHeight w:val="225"/>
        </w:trPr>
        <w:tc>
          <w:tcPr>
            <w:tcW w:w="1642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18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IV-VIII</w:t>
            </w:r>
            <w:r/>
          </w:p>
        </w:tc>
        <w:tc>
          <w:tcPr>
            <w:tcBorders>
              <w:top w:val="single" w:sz="4" w:space="0" w:color="auto"/>
              <w:bottom w:val="single" w:sz="4" w:space="0" w:color="auto"/>
            </w:tcBorders>
            <w:tcW w:w="626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3726,71/3000,00</w:t>
            </w:r>
            <w:r/>
          </w:p>
        </w:tc>
      </w:tr>
      <w:tr>
        <w:trPr>
          <w:trHeight w:val="195"/>
        </w:trPr>
        <w:tc>
          <w:tcPr>
            <w:tcW w:w="1642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ІІ</w:t>
            </w:r>
            <w:r/>
          </w:p>
        </w:tc>
        <w:tc>
          <w:tcPr>
            <w:tcBorders>
              <w:bottom w:val="single" w:sz="4" w:space="0" w:color="auto"/>
            </w:tcBorders>
            <w:tcW w:w="18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І-ІІІ</w:t>
            </w:r>
            <w:r/>
          </w:p>
        </w:tc>
        <w:tc>
          <w:tcPr>
            <w:tcBorders>
              <w:bottom w:val="single" w:sz="4" w:space="0" w:color="auto"/>
            </w:tcBorders>
            <w:tcW w:w="626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3726,71/3000,00</w:t>
            </w:r>
            <w:r/>
          </w:p>
        </w:tc>
      </w:tr>
      <w:tr>
        <w:trPr>
          <w:trHeight w:val="120"/>
        </w:trPr>
        <w:tc>
          <w:tcPr>
            <w:tcW w:w="1642" w:type="dxa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8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IV-VIII</w:t>
            </w:r>
            <w:r/>
          </w:p>
        </w:tc>
        <w:tc>
          <w:tcPr>
            <w:tcBorders>
              <w:top w:val="single" w:sz="4" w:space="0" w:color="auto"/>
            </w:tcBorders>
            <w:tcW w:w="626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1863,36/1500,00</w:t>
            </w:r>
            <w:r/>
          </w:p>
        </w:tc>
      </w:tr>
      <w:tr>
        <w:trPr>
          <w:trHeight w:val="330"/>
        </w:trPr>
        <w:tc>
          <w:tcPr>
            <w:tcW w:w="164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ІІІ- IV</w:t>
            </w:r>
            <w:r/>
          </w:p>
        </w:tc>
        <w:tc>
          <w:tcPr>
            <w:tcW w:w="18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І-ІІІ</w:t>
            </w:r>
            <w:r/>
          </w:p>
        </w:tc>
        <w:tc>
          <w:tcPr>
            <w:tcW w:w="626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1242,23/1000,00</w:t>
            </w:r>
            <w:r/>
          </w:p>
        </w:tc>
      </w:tr>
      <w:tr>
        <w:trPr>
          <w:trHeight w:val="330"/>
        </w:trPr>
        <w:tc>
          <w:tcPr>
            <w:tcW w:w="164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V-VII</w:t>
            </w:r>
            <w:r/>
          </w:p>
        </w:tc>
        <w:tc>
          <w:tcPr>
            <w:tcW w:w="1867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І-ІІІ</w:t>
            </w:r>
            <w:r/>
          </w:p>
        </w:tc>
        <w:tc>
          <w:tcPr>
            <w:tcW w:w="6261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621,10/500,00</w:t>
            </w:r>
            <w:r/>
          </w:p>
        </w:tc>
      </w:tr>
    </w:tbl>
    <w:p>
      <w:pPr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Перел</w:t>
      </w:r>
      <w:r>
        <w:rPr>
          <w:rFonts w:ascii="Times New Roman" w:hAnsi="Times New Roman"/>
          <w:sz w:val="28"/>
          <w:szCs w:val="28"/>
        </w:rPr>
        <w:t xml:space="preserve">ік документів для отримання одноразової винагороди:</w:t>
      </w:r>
      <w:r/>
    </w:p>
    <w:p>
      <w:pPr>
        <w:pStyle w:val="865"/>
        <w:numPr>
          <w:ilvl w:val="0"/>
          <w:numId w:val="1"/>
        </w:numPr>
        <w:ind w:left="0" w:right="0"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подання тренера;</w:t>
      </w:r>
      <w:r/>
    </w:p>
    <w:p>
      <w:pPr>
        <w:pStyle w:val="865"/>
        <w:numPr>
          <w:ilvl w:val="0"/>
          <w:numId w:val="1"/>
        </w:numPr>
        <w:ind w:left="0" w:right="0"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копія витягу з протоколу змагання або грамоти;</w:t>
      </w:r>
      <w:r/>
    </w:p>
    <w:p>
      <w:pPr>
        <w:pStyle w:val="865"/>
        <w:numPr>
          <w:ilvl w:val="0"/>
          <w:numId w:val="1"/>
        </w:numPr>
        <w:ind w:left="0" w:right="0" w:firstLine="567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копії паспорта (свідоцтва про народження), </w:t>
      </w:r>
      <w:hyperlink r:id="rId14" w:tooltip="https://uk.wikipedia.org/wiki/%D0%86%D0%B4%D0%B5%D0%BD%D1%82%D0%B8%D1%84%D1%96%D0%BA%D0%B0%D1%86%D1%96%D0%B9%D0%BD%D0%B8%D0%B9_%D0%BD%D0%BE%D0%BC%D0%B5%D1%80_%D1%84%D1%96%D0%B7%D0%B8%D1%87%D0%BD%D0%BE%D1%97_%D0%BE%D1%81%D0%BE%D0%B1%D0%B8" w:history="1">
        <w:r>
          <w:rPr>
            <w:rFonts w:ascii="Times New Roman" w:hAnsi="Times New Roman"/>
            <w:bCs/>
            <w:sz w:val="28"/>
            <w:szCs w:val="28"/>
            <w:shd w:val="clear" w:fill="FFFFFF" w:color="auto"/>
          </w:rPr>
          <w:t xml:space="preserve">ідентифікаційного номера фізичної особи</w:t>
        </w:r>
      </w:hyperlink>
      <w:r>
        <w:t xml:space="preserve">.</w:t>
      </w:r>
      <w:r/>
    </w:p>
    <w:p>
      <w:pPr>
        <w:ind w:left="0"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До списку нагороджених включаються тренери, які виховали (підготували) спортсменів\команди-перемож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ці. Винагорода тренерам виплачується за одну перемогу вихованця у найвищому ранзі змагань. </w:t>
      </w:r>
      <w:r/>
    </w:p>
    <w:p>
      <w:pPr>
        <w:ind w:left="0"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У разі, якщо спортсмени\команди на протязі року неодноразово ставали переможцями змагань різних рівнів, одноразова винагорода виплачується за одну перемогу в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найвищому ранзі змагань.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center"/>
        <w:spacing w:after="142" w:afterAutospacing="0" w:before="142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b/>
          <w:sz w:val="28"/>
          <w:szCs w:val="28"/>
        </w:rPr>
        <w:t xml:space="preserve">Фінансове </w:t>
      </w:r>
      <w:r>
        <w:rPr>
          <w:rFonts w:ascii="Times New Roman" w:hAnsi="Times New Roman"/>
          <w:b/>
          <w:sz w:val="28"/>
          <w:szCs w:val="28"/>
        </w:rPr>
        <w:t xml:space="preserve">забезпечення Програми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shd w:val="clear" w:fill="FFFFFF" w:color="auto"/>
        </w:rP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Фінанс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ування Програми здійснюватиметься за рахунок коштів місцевого бюджету, виходячи з його фінансових можливостей, а також інших джерел фінансування, не заборонених чинним законодавством України.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highlight w:val="none"/>
          <w:shd w:val="clear" w:fill="FFFFFF" w:color="auto"/>
        </w:rPr>
        <w:suppressLineNumbers w:val="0"/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Прогн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озований обсяг фінансових ресурсів на 202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2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- 202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4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роки:</w:t>
      </w:r>
      <w:r/>
    </w:p>
    <w:tbl>
      <w:tblPr>
        <w:tblStyle w:val="866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1701"/>
        <w:gridCol w:w="1842"/>
        <w:gridCol w:w="1774"/>
      </w:tblGrid>
      <w:tr>
        <w:trPr>
          <w:trHeight w:val="343"/>
        </w:trPr>
        <w:tc>
          <w:tcPr>
            <w:tcW w:w="2376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Джерела фінансування</w:t>
            </w:r>
            <w:r/>
          </w:p>
        </w:tc>
        <w:tc>
          <w:tcPr>
            <w:tcW w:w="2127" w:type="dxa"/>
            <w:vAlign w:val="center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Обсяг фінансування</w:t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(тис. грн.)</w:t>
            </w:r>
            <w:r/>
          </w:p>
        </w:tc>
        <w:tc>
          <w:tcPr>
            <w:gridSpan w:val="3"/>
            <w:tcBorders>
              <w:bottom w:val="single" w:sz="4" w:space="0" w:color="auto"/>
            </w:tcBorders>
            <w:tcW w:w="531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У тому числі за роками</w:t>
            </w:r>
            <w:r/>
          </w:p>
        </w:tc>
      </w:tr>
      <w:tr>
        <w:trPr>
          <w:trHeight w:val="133"/>
        </w:trPr>
        <w:tc>
          <w:tcPr>
            <w:tcW w:w="2376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</w:r>
            <w:r/>
          </w:p>
        </w:tc>
        <w:tc>
          <w:tcPr>
            <w:tcW w:w="2127" w:type="dxa"/>
            <w:vAlign w:val="center"/>
            <w:vMerge w:val="continue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</w:r>
            <w:r/>
          </w:p>
        </w:tc>
        <w:tc>
          <w:tcPr>
            <w:tcBorders>
              <w:top w:val="single" w:sz="4" w:space="0" w:color="auto"/>
              <w:right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202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8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202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</w:tcBorders>
            <w:tcW w:w="177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202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 xml:space="preserve">4</w:t>
            </w:r>
            <w:r/>
          </w:p>
        </w:tc>
      </w:tr>
      <w:tr>
        <w:trPr>
          <w:trHeight w:val="62"/>
        </w:trPr>
        <w:tc>
          <w:tcPr>
            <w:tcW w:w="2376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Місцеві бюджети</w:t>
            </w:r>
            <w:r>
              <w:rPr>
                <w:sz w:val="28"/>
              </w:rPr>
            </w:r>
          </w:p>
        </w:tc>
        <w:tc>
          <w:tcPr>
            <w:tcW w:w="212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1254,2</w:t>
            </w:r>
            <w:r>
              <w:rPr>
                <w:sz w:val="28"/>
              </w:rPr>
            </w:r>
          </w:p>
        </w:tc>
        <w:tc>
          <w:tcPr>
            <w:tcBorders>
              <w:right w:val="single" w:sz="4" w:space="0" w:color="auto"/>
            </w:tcBorders>
            <w:tcW w:w="170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349,6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184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412,7</w:t>
            </w:r>
            <w:r>
              <w:rPr>
                <w:sz w:val="28"/>
              </w:rPr>
            </w:r>
          </w:p>
        </w:tc>
        <w:tc>
          <w:tcPr>
            <w:tcBorders>
              <w:left w:val="single" w:sz="4" w:space="0" w:color="auto"/>
            </w:tcBorders>
            <w:tcW w:w="1774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491,9</w:t>
            </w:r>
            <w:r>
              <w:rPr>
                <w:sz w:val="28"/>
              </w:rPr>
            </w:r>
          </w:p>
        </w:tc>
      </w:tr>
    </w:tbl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Фінансування заходів П</w:t>
      </w:r>
      <w:r>
        <w:rPr>
          <w:rFonts w:ascii="Times New Roman" w:hAnsi="Times New Roman"/>
          <w:sz w:val="28"/>
          <w:szCs w:val="28"/>
        </w:rPr>
        <w:t xml:space="preserve">рограми відбувається відповідно до положення про захід, кошторису заходу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який розробляється Сектором </w:t>
      </w:r>
      <w:r>
        <w:rPr>
          <w:rFonts w:ascii="Times New Roman" w:hAnsi="Times New Roman"/>
          <w:sz w:val="28"/>
          <w:szCs w:val="28"/>
        </w:rPr>
        <w:t xml:space="preserve">фізичної культури</w:t>
      </w:r>
      <w:r>
        <w:rPr>
          <w:rFonts w:ascii="Times New Roman" w:hAnsi="Times New Roman"/>
          <w:sz w:val="28"/>
          <w:szCs w:val="28"/>
        </w:rPr>
        <w:t xml:space="preserve"> та спорту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та подається на погодження міському голові.</w:t>
      </w:r>
      <w:r/>
    </w:p>
    <w:p>
      <w:pPr>
        <w:jc w:val="center"/>
        <w:spacing w:after="142" w:afterAutospacing="0" w:before="142" w:beforeAutospacing="0"/>
        <w:rPr>
          <w:rFonts w:ascii="Times New Roman" w:hAnsi="Times New Roman"/>
          <w:b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8. Управління </w:t>
      </w:r>
      <w:r>
        <w:rPr>
          <w:rFonts w:ascii="Times New Roman" w:hAnsi="Times New Roman"/>
          <w:b/>
          <w:sz w:val="28"/>
          <w:szCs w:val="28"/>
        </w:rPr>
        <w:t xml:space="preserve">та </w:t>
      </w:r>
      <w:r>
        <w:rPr>
          <w:rFonts w:ascii="Times New Roman" w:hAnsi="Times New Roman"/>
          <w:b/>
          <w:sz w:val="28"/>
          <w:szCs w:val="28"/>
        </w:rPr>
        <w:t xml:space="preserve">контроль за ходом виконання Програми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highlight w:val="none"/>
          <w:shd w:val="clear" w:fill="FFFFFF" w:color="auto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Головним виконавцем Програми є Сектор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фізичної культури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та спорту Менської міської ради. Контроль за її виконанням здійснює заступник міського голови з питань діяльності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виконавчих органів ради відповідно до розподілу функціональних обов’язків.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shd w:val="clear" w:fill="FFFFFF" w:color="auto"/>
        </w:rPr>
        <w:t xml:space="preserve">Заступник міського голови з</w:t>
      </w:r>
      <w:r>
        <w:rPr>
          <w:rFonts w:ascii="Times New Roman" w:hAnsi="Times New Roman"/>
          <w:sz w:val="28"/>
          <w:szCs w:val="28"/>
          <w:highlight w:val="none"/>
          <w:shd w:val="clear" w:fill="FFFFFF" w:color="auto"/>
        </w:rPr>
      </w:r>
      <w:r/>
    </w:p>
    <w:p>
      <w:pPr>
        <w:ind w:firstLine="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  <w:shd w:val="clear" w:fill="FFFFFF" w:color="auto"/>
        </w:rPr>
        <w:t xml:space="preserve">питань діяльності виконавчих</w:t>
      </w:r>
      <w:r>
        <w:rPr>
          <w:rFonts w:ascii="Times New Roman" w:hAnsi="Times New Roman"/>
          <w:sz w:val="28"/>
          <w:szCs w:val="28"/>
          <w:highlight w:val="none"/>
          <w:shd w:val="clear" w:fill="FFFFFF" w:color="auto"/>
        </w:rPr>
      </w:r>
      <w:r/>
    </w:p>
    <w:p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  <w:shd w:val="clear" w:fill="FFFFFF" w:color="auto"/>
        </w:rPr>
        <w:t xml:space="preserve">органів ради                                                                                Вікторія ПРИЩЕПА</w:t>
      </w:r>
      <w:r>
        <w:rPr>
          <w:rFonts w:ascii="Times New Roman" w:hAnsi="Times New Roman"/>
          <w:sz w:val="28"/>
          <w:szCs w:val="28"/>
          <w:highlight w:val="none"/>
          <w:shd w:val="clear" w:fill="FFFFFF" w:color="auto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icrosoft Himalaya">
    <w:panose1 w:val="01000503020000020002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  <w:jc w:val="right"/>
      <w:rPr>
        <w:rFonts w:ascii="Times New Roman" w:hAnsi="Times New Roman" w:cs="Times New Roman" w:eastAsia="Times New Roman"/>
        <w:i/>
      </w:rPr>
    </w:pPr>
    <w:r>
      <w:t xml:space="preserve">                                   </w:t>
    </w:r>
    <w:r>
      <w:rPr>
        <w:rFonts w:ascii="Times New Roman" w:hAnsi="Times New Roman" w:cs="Times New Roman" w:eastAsia="Times New Roman"/>
      </w:rPr>
      <w:t xml:space="preserve">        </w:t>
    </w:r>
    <w:r>
      <w:rPr>
        <w:rFonts w:ascii="Times New Roman" w:hAnsi="Times New Roman" w:cs="Times New Roman" w:eastAsia="Times New Roman"/>
        <w:i/>
      </w:rPr>
      <w:t xml:space="preserve">   </w:t>
    </w:r>
    <w:fldSimple w:instr="PAGE \* MERGEFORMAT">
      <w:r>
        <w:rPr>
          <w:rFonts w:ascii="Times New Roman" w:hAnsi="Times New Roman" w:cs="Times New Roman" w:eastAsia="Times New Roman"/>
          <w:i/>
        </w:rPr>
        <w:t xml:space="preserve">1</w:t>
      </w:r>
    </w:fldSimple>
    <w:r>
      <w:rPr>
        <w:rFonts w:ascii="Times New Roman" w:hAnsi="Times New Roman" w:cs="Times New Roman" w:eastAsia="Times New Roman"/>
        <w:i/>
      </w:rPr>
    </w:r>
    <w:r>
      <w:rPr>
        <w:rFonts w:ascii="Times New Roman" w:hAnsi="Times New Roman" w:cs="Times New Roman" w:eastAsia="Times New Roman"/>
        <w:i/>
      </w:rPr>
      <w:t xml:space="preserve">                                </w:t>
    </w:r>
    <w:r>
      <w:rPr>
        <w:rFonts w:ascii="Times New Roman" w:hAnsi="Times New Roman" w:cs="Times New Roman" w:eastAsia="Times New Roman"/>
        <w:i/>
      </w:rPr>
      <w:t xml:space="preserve">  Продовження додатка</w:t>
    </w:r>
    <w:r>
      <w:rPr>
        <w:rFonts w:ascii="Times New Roman" w:hAnsi="Times New Roman" w:cs="Times New Roman" w:eastAsia="Times New Roman"/>
        <w:i/>
      </w:rPr>
    </w:r>
    <w:r/>
  </w:p>
  <w:p>
    <w:pPr>
      <w:pStyle w:val="89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720" w:hanging="356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6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6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6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6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6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6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6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6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56"/>
      </w:pPr>
      <w:rPr>
        <w:rFonts w:hint="default"/>
        <w:b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Caption"/>
    <w:basedOn w:val="803"/>
    <w:next w:val="8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2">
    <w:name w:val="Caption Char"/>
    <w:basedOn w:val="691"/>
    <w:link w:val="896"/>
    <w:uiPriority w:val="99"/>
  </w:style>
  <w:style w:type="table" w:styleId="693">
    <w:name w:val="Table Grid Light"/>
    <w:basedOn w:val="8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basedOn w:val="8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basedOn w:val="8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9">
    <w:name w:val="Grid Table 1 Light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4 - Accent 1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2">
    <w:name w:val="Grid Table 4 - Accent 2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3">
    <w:name w:val="Grid Table 4 - Accent 3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4">
    <w:name w:val="Grid Table 4 - Accent 4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5">
    <w:name w:val="Grid Table 4 - Accent 5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6">
    <w:name w:val="Grid Table 4 - Accent 6"/>
    <w:basedOn w:val="8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7">
    <w:name w:val="Grid Table 5 Dark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1">
    <w:name w:val="Grid Table 5 Dark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4">
    <w:name w:val="Grid Table 6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6">
    <w:name w:val="List Table 2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7">
    <w:name w:val="List Table 2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8">
    <w:name w:val="List Table 2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9">
    <w:name w:val="List Table 2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0">
    <w:name w:val="List Table 2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1">
    <w:name w:val="List Table 2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2">
    <w:name w:val="List Table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4">
    <w:name w:val="List Table 6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5">
    <w:name w:val="List Table 6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6">
    <w:name w:val="List Table 6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7">
    <w:name w:val="List Table 6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8">
    <w:name w:val="List Table 6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9">
    <w:name w:val="List Table 6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0">
    <w:name w:val="List Table 7 Colorful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8">
    <w:name w:val="Bordered &amp; Lined - Accent"/>
    <w:basedOn w:val="8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799">
    <w:name w:val="endnote text"/>
    <w:basedOn w:val="80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04"/>
    <w:uiPriority w:val="99"/>
    <w:semiHidden/>
    <w:unhideWhenUsed/>
    <w:rPr>
      <w:vertAlign w:val="superscript"/>
    </w:rPr>
  </w:style>
  <w:style w:type="paragraph" w:styleId="802">
    <w:name w:val="table of figures"/>
    <w:basedOn w:val="803"/>
    <w:next w:val="803"/>
    <w:uiPriority w:val="99"/>
    <w:unhideWhenUsed/>
    <w:pPr>
      <w:spacing w:after="0" w:afterAutospacing="0"/>
    </w:pPr>
  </w:style>
  <w:style w:type="paragraph" w:styleId="803" w:default="1">
    <w:name w:val="Normal"/>
    <w:qFormat/>
    <w:rPr>
      <w:sz w:val="24"/>
      <w:szCs w:val="24"/>
      <w:lang w:val="uk-UA"/>
    </w:rPr>
    <w:pPr>
      <w:spacing w:lineRule="auto" w:line="240" w:after="0"/>
    </w:pPr>
  </w:style>
  <w:style w:type="character" w:styleId="804" w:default="1">
    <w:name w:val="Default Paragraph Font"/>
    <w:uiPriority w:val="1"/>
    <w:semiHidden/>
    <w:unhideWhenUsed/>
  </w:style>
  <w:style w:type="table" w:styleId="80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6" w:default="1">
    <w:name w:val="No List"/>
    <w:uiPriority w:val="99"/>
    <w:semiHidden/>
    <w:unhideWhenUsed/>
  </w:style>
  <w:style w:type="character" w:styleId="807" w:customStyle="1">
    <w:name w:val="Footnote Text Char"/>
    <w:link w:val="844"/>
    <w:uiPriority w:val="99"/>
    <w:rPr>
      <w:sz w:val="18"/>
    </w:rPr>
  </w:style>
  <w:style w:type="character" w:styleId="808" w:customStyle="1">
    <w:name w:val="Heading 1 Char"/>
    <w:basedOn w:val="804"/>
    <w:link w:val="856"/>
    <w:uiPriority w:val="9"/>
    <w:rPr>
      <w:rFonts w:ascii="Arial" w:hAnsi="Arial" w:cs="Arial" w:eastAsia="Arial"/>
      <w:sz w:val="40"/>
      <w:szCs w:val="40"/>
    </w:rPr>
  </w:style>
  <w:style w:type="character" w:styleId="809" w:customStyle="1">
    <w:name w:val="Heading 2 Char"/>
    <w:basedOn w:val="804"/>
    <w:link w:val="857"/>
    <w:uiPriority w:val="9"/>
    <w:rPr>
      <w:rFonts w:ascii="Arial" w:hAnsi="Arial" w:cs="Arial" w:eastAsia="Arial"/>
      <w:sz w:val="34"/>
    </w:rPr>
  </w:style>
  <w:style w:type="character" w:styleId="810" w:customStyle="1">
    <w:name w:val="Heading 3 Char"/>
    <w:basedOn w:val="804"/>
    <w:link w:val="858"/>
    <w:uiPriority w:val="9"/>
    <w:rPr>
      <w:rFonts w:ascii="Arial" w:hAnsi="Arial" w:cs="Arial" w:eastAsia="Arial"/>
      <w:sz w:val="30"/>
      <w:szCs w:val="30"/>
    </w:rPr>
  </w:style>
  <w:style w:type="character" w:styleId="811" w:customStyle="1">
    <w:name w:val="Heading 4 Char"/>
    <w:basedOn w:val="804"/>
    <w:link w:val="859"/>
    <w:uiPriority w:val="9"/>
    <w:rPr>
      <w:rFonts w:ascii="Arial" w:hAnsi="Arial" w:cs="Arial" w:eastAsia="Arial"/>
      <w:b/>
      <w:bCs/>
      <w:sz w:val="26"/>
      <w:szCs w:val="26"/>
    </w:rPr>
  </w:style>
  <w:style w:type="character" w:styleId="812" w:customStyle="1">
    <w:name w:val="Heading 5 Char"/>
    <w:basedOn w:val="804"/>
    <w:link w:val="860"/>
    <w:uiPriority w:val="9"/>
    <w:rPr>
      <w:rFonts w:ascii="Arial" w:hAnsi="Arial" w:cs="Arial" w:eastAsia="Arial"/>
      <w:b/>
      <w:bCs/>
      <w:sz w:val="24"/>
      <w:szCs w:val="24"/>
    </w:rPr>
  </w:style>
  <w:style w:type="character" w:styleId="813" w:customStyle="1">
    <w:name w:val="Heading 6 Char"/>
    <w:basedOn w:val="804"/>
    <w:link w:val="861"/>
    <w:uiPriority w:val="9"/>
    <w:rPr>
      <w:rFonts w:ascii="Arial" w:hAnsi="Arial" w:cs="Arial" w:eastAsia="Arial"/>
      <w:b/>
      <w:bCs/>
      <w:sz w:val="22"/>
      <w:szCs w:val="22"/>
    </w:rPr>
  </w:style>
  <w:style w:type="character" w:styleId="814" w:customStyle="1">
    <w:name w:val="Heading 7 Char"/>
    <w:basedOn w:val="804"/>
    <w:link w:val="8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5" w:customStyle="1">
    <w:name w:val="Heading 8 Char"/>
    <w:basedOn w:val="804"/>
    <w:link w:val="863"/>
    <w:uiPriority w:val="9"/>
    <w:rPr>
      <w:rFonts w:ascii="Arial" w:hAnsi="Arial" w:cs="Arial" w:eastAsia="Arial"/>
      <w:i/>
      <w:iCs/>
      <w:sz w:val="22"/>
      <w:szCs w:val="22"/>
    </w:rPr>
  </w:style>
  <w:style w:type="character" w:styleId="816" w:customStyle="1">
    <w:name w:val="Heading 9 Char"/>
    <w:basedOn w:val="804"/>
    <w:link w:val="864"/>
    <w:uiPriority w:val="9"/>
    <w:rPr>
      <w:rFonts w:ascii="Arial" w:hAnsi="Arial" w:cs="Arial" w:eastAsia="Arial"/>
      <w:i/>
      <w:iCs/>
      <w:sz w:val="21"/>
      <w:szCs w:val="21"/>
    </w:rPr>
  </w:style>
  <w:style w:type="character" w:styleId="817" w:customStyle="1">
    <w:name w:val="Title Char"/>
    <w:basedOn w:val="804"/>
    <w:link w:val="876"/>
    <w:uiPriority w:val="10"/>
    <w:rPr>
      <w:sz w:val="48"/>
      <w:szCs w:val="48"/>
    </w:rPr>
  </w:style>
  <w:style w:type="character" w:styleId="818" w:customStyle="1">
    <w:name w:val="Subtitle Char"/>
    <w:basedOn w:val="804"/>
    <w:link w:val="878"/>
    <w:uiPriority w:val="11"/>
    <w:rPr>
      <w:sz w:val="24"/>
      <w:szCs w:val="24"/>
    </w:rPr>
  </w:style>
  <w:style w:type="character" w:styleId="819" w:customStyle="1">
    <w:name w:val="Quote Char"/>
    <w:link w:val="883"/>
    <w:uiPriority w:val="29"/>
    <w:rPr>
      <w:i/>
    </w:rPr>
  </w:style>
  <w:style w:type="character" w:styleId="820" w:customStyle="1">
    <w:name w:val="Intense Quote Char"/>
    <w:link w:val="885"/>
    <w:uiPriority w:val="30"/>
    <w:rPr>
      <w:i/>
    </w:rPr>
  </w:style>
  <w:style w:type="character" w:styleId="821" w:customStyle="1">
    <w:name w:val="Header Char"/>
    <w:basedOn w:val="804"/>
    <w:link w:val="894"/>
    <w:uiPriority w:val="99"/>
  </w:style>
  <w:style w:type="character" w:styleId="822" w:customStyle="1">
    <w:name w:val="Footer Char"/>
    <w:basedOn w:val="804"/>
    <w:link w:val="896"/>
    <w:uiPriority w:val="99"/>
  </w:style>
  <w:style w:type="table" w:styleId="823" w:customStyle="1">
    <w:name w:val="Lined"/>
    <w:basedOn w:val="80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4" w:customStyle="1">
    <w:name w:val="Lined - Accent 1"/>
    <w:basedOn w:val="80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5" w:customStyle="1">
    <w:name w:val="Lined - Accent 2"/>
    <w:basedOn w:val="80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6" w:customStyle="1">
    <w:name w:val="Lined - Accent 3"/>
    <w:basedOn w:val="80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7" w:customStyle="1">
    <w:name w:val="Lined - Accent 4"/>
    <w:basedOn w:val="80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8" w:customStyle="1">
    <w:name w:val="Lined - Accent 5"/>
    <w:basedOn w:val="80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9" w:customStyle="1">
    <w:name w:val="Lined - Accent 6"/>
    <w:basedOn w:val="80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0" w:customStyle="1">
    <w:name w:val="Bordered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31" w:customStyle="1">
    <w:name w:val="Bordered - Accent 1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32" w:customStyle="1">
    <w:name w:val="Bordered - Accent 2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33" w:customStyle="1">
    <w:name w:val="Bordered - Accent 3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4" w:customStyle="1">
    <w:name w:val="Bordered - Accent 4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5" w:customStyle="1">
    <w:name w:val="Bordered - Accent 5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6" w:customStyle="1">
    <w:name w:val="Bordered - Accent 6"/>
    <w:basedOn w:val="8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7" w:customStyle="1">
    <w:name w:val="Bordered &amp; Lined"/>
    <w:basedOn w:val="80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8" w:customStyle="1">
    <w:name w:val="Bordered &amp; Lined - Accent 1"/>
    <w:basedOn w:val="80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9" w:customStyle="1">
    <w:name w:val="Bordered &amp; Lined - Accent 2"/>
    <w:basedOn w:val="80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0" w:customStyle="1">
    <w:name w:val="Bordered &amp; Lined - Accent 3"/>
    <w:basedOn w:val="80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41" w:customStyle="1">
    <w:name w:val="Bordered &amp; Lined - Accent 4"/>
    <w:basedOn w:val="80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2" w:customStyle="1">
    <w:name w:val="Bordered &amp; Lined - Accent 5"/>
    <w:basedOn w:val="80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3" w:customStyle="1">
    <w:name w:val="Bordered &amp; Lined - Accent 6"/>
    <w:basedOn w:val="805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844">
    <w:name w:val="footnote text"/>
    <w:basedOn w:val="803"/>
    <w:link w:val="845"/>
    <w:uiPriority w:val="99"/>
    <w:semiHidden/>
    <w:unhideWhenUsed/>
    <w:rPr>
      <w:sz w:val="18"/>
    </w:rPr>
    <w:pPr>
      <w:spacing w:after="40"/>
    </w:pPr>
  </w:style>
  <w:style w:type="character" w:styleId="845" w:customStyle="1">
    <w:name w:val="Текст сноски Знак"/>
    <w:link w:val="844"/>
    <w:uiPriority w:val="99"/>
    <w:rPr>
      <w:sz w:val="18"/>
    </w:rPr>
  </w:style>
  <w:style w:type="character" w:styleId="846">
    <w:name w:val="footnote reference"/>
    <w:basedOn w:val="804"/>
    <w:uiPriority w:val="99"/>
    <w:unhideWhenUsed/>
    <w:rPr>
      <w:vertAlign w:val="superscript"/>
    </w:rPr>
  </w:style>
  <w:style w:type="paragraph" w:styleId="847">
    <w:name w:val="toc 1"/>
    <w:basedOn w:val="803"/>
    <w:next w:val="803"/>
    <w:uiPriority w:val="39"/>
    <w:unhideWhenUsed/>
    <w:pPr>
      <w:spacing w:after="57"/>
    </w:pPr>
  </w:style>
  <w:style w:type="paragraph" w:styleId="848">
    <w:name w:val="toc 2"/>
    <w:basedOn w:val="803"/>
    <w:next w:val="803"/>
    <w:uiPriority w:val="39"/>
    <w:unhideWhenUsed/>
    <w:pPr>
      <w:ind w:left="283"/>
      <w:spacing w:after="57"/>
    </w:pPr>
  </w:style>
  <w:style w:type="paragraph" w:styleId="849">
    <w:name w:val="toc 3"/>
    <w:basedOn w:val="803"/>
    <w:next w:val="803"/>
    <w:uiPriority w:val="39"/>
    <w:unhideWhenUsed/>
    <w:pPr>
      <w:ind w:left="567"/>
      <w:spacing w:after="57"/>
    </w:pPr>
  </w:style>
  <w:style w:type="paragraph" w:styleId="850">
    <w:name w:val="toc 4"/>
    <w:basedOn w:val="803"/>
    <w:next w:val="803"/>
    <w:uiPriority w:val="39"/>
    <w:unhideWhenUsed/>
    <w:pPr>
      <w:ind w:left="850"/>
      <w:spacing w:after="57"/>
    </w:pPr>
  </w:style>
  <w:style w:type="paragraph" w:styleId="851">
    <w:name w:val="toc 5"/>
    <w:basedOn w:val="803"/>
    <w:next w:val="803"/>
    <w:uiPriority w:val="39"/>
    <w:unhideWhenUsed/>
    <w:pPr>
      <w:ind w:left="1134"/>
      <w:spacing w:after="57"/>
    </w:pPr>
  </w:style>
  <w:style w:type="paragraph" w:styleId="852">
    <w:name w:val="toc 6"/>
    <w:basedOn w:val="803"/>
    <w:next w:val="803"/>
    <w:uiPriority w:val="39"/>
    <w:unhideWhenUsed/>
    <w:pPr>
      <w:ind w:left="1417"/>
      <w:spacing w:after="57"/>
    </w:pPr>
  </w:style>
  <w:style w:type="paragraph" w:styleId="853">
    <w:name w:val="toc 7"/>
    <w:basedOn w:val="803"/>
    <w:next w:val="803"/>
    <w:uiPriority w:val="39"/>
    <w:unhideWhenUsed/>
    <w:pPr>
      <w:ind w:left="1701"/>
      <w:spacing w:after="57"/>
    </w:pPr>
  </w:style>
  <w:style w:type="paragraph" w:styleId="854">
    <w:name w:val="toc 8"/>
    <w:basedOn w:val="803"/>
    <w:next w:val="803"/>
    <w:uiPriority w:val="39"/>
    <w:unhideWhenUsed/>
    <w:pPr>
      <w:ind w:left="1984"/>
      <w:spacing w:after="57"/>
    </w:pPr>
  </w:style>
  <w:style w:type="paragraph" w:styleId="855">
    <w:name w:val="toc 9"/>
    <w:basedOn w:val="803"/>
    <w:next w:val="803"/>
    <w:uiPriority w:val="39"/>
    <w:unhideWhenUsed/>
    <w:pPr>
      <w:ind w:left="2268"/>
      <w:spacing w:after="57"/>
    </w:pPr>
  </w:style>
  <w:style w:type="paragraph" w:styleId="856" w:customStyle="1">
    <w:name w:val="Heading 1"/>
    <w:basedOn w:val="803"/>
    <w:next w:val="803"/>
    <w:link w:val="867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857" w:customStyle="1">
    <w:name w:val="Heading 2"/>
    <w:basedOn w:val="803"/>
    <w:next w:val="803"/>
    <w:link w:val="868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858" w:customStyle="1">
    <w:name w:val="Heading 3"/>
    <w:basedOn w:val="803"/>
    <w:next w:val="803"/>
    <w:link w:val="869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859" w:customStyle="1">
    <w:name w:val="Heading 4"/>
    <w:basedOn w:val="803"/>
    <w:next w:val="803"/>
    <w:link w:val="870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860" w:customStyle="1">
    <w:name w:val="Heading 5"/>
    <w:basedOn w:val="803"/>
    <w:next w:val="803"/>
    <w:link w:val="871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861" w:customStyle="1">
    <w:name w:val="Heading 6"/>
    <w:basedOn w:val="803"/>
    <w:next w:val="803"/>
    <w:link w:val="872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862" w:customStyle="1">
    <w:name w:val="Heading 7"/>
    <w:basedOn w:val="803"/>
    <w:next w:val="803"/>
    <w:link w:val="873"/>
    <w:qFormat/>
    <w:uiPriority w:val="9"/>
    <w:semiHidden/>
    <w:unhideWhenUsed/>
    <w:pPr>
      <w:spacing w:after="60" w:before="240"/>
      <w:outlineLvl w:val="6"/>
    </w:pPr>
  </w:style>
  <w:style w:type="paragraph" w:styleId="863" w:customStyle="1">
    <w:name w:val="Heading 8"/>
    <w:basedOn w:val="803"/>
    <w:next w:val="803"/>
    <w:link w:val="874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864" w:customStyle="1">
    <w:name w:val="Heading 9"/>
    <w:basedOn w:val="803"/>
    <w:next w:val="803"/>
    <w:link w:val="875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paragraph" w:styleId="865">
    <w:name w:val="List Paragraph"/>
    <w:basedOn w:val="803"/>
    <w:qFormat/>
    <w:uiPriority w:val="34"/>
    <w:pPr>
      <w:contextualSpacing w:val="true"/>
      <w:ind w:left="720"/>
    </w:pPr>
  </w:style>
  <w:style w:type="table" w:styleId="866">
    <w:name w:val="Table Grid"/>
    <w:basedOn w:val="8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7" w:customStyle="1">
    <w:name w:val="Заголовок 1 Знак"/>
    <w:basedOn w:val="804"/>
    <w:link w:val="856"/>
    <w:uiPriority w:val="9"/>
    <w:rPr>
      <w:rFonts w:ascii="Cambria" w:hAnsi="Cambria" w:eastAsia="Cambria"/>
      <w:b/>
      <w:bCs/>
      <w:sz w:val="32"/>
      <w:szCs w:val="32"/>
    </w:rPr>
  </w:style>
  <w:style w:type="character" w:styleId="868" w:customStyle="1">
    <w:name w:val="Заголовок 2 Знак"/>
    <w:basedOn w:val="804"/>
    <w:link w:val="857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869" w:customStyle="1">
    <w:name w:val="Заголовок 3 Знак"/>
    <w:basedOn w:val="804"/>
    <w:link w:val="858"/>
    <w:uiPriority w:val="9"/>
    <w:rPr>
      <w:rFonts w:ascii="Cambria" w:hAnsi="Cambria" w:eastAsia="Cambria"/>
      <w:b/>
      <w:bCs/>
      <w:sz w:val="26"/>
      <w:szCs w:val="26"/>
    </w:rPr>
  </w:style>
  <w:style w:type="character" w:styleId="870" w:customStyle="1">
    <w:name w:val="Заголовок 4 Знак"/>
    <w:basedOn w:val="804"/>
    <w:link w:val="859"/>
    <w:uiPriority w:val="9"/>
    <w:rPr>
      <w:b/>
      <w:bCs/>
      <w:sz w:val="28"/>
      <w:szCs w:val="28"/>
    </w:rPr>
  </w:style>
  <w:style w:type="character" w:styleId="871" w:customStyle="1">
    <w:name w:val="Заголовок 5 Знак"/>
    <w:basedOn w:val="804"/>
    <w:link w:val="860"/>
    <w:uiPriority w:val="9"/>
    <w:semiHidden/>
    <w:rPr>
      <w:b/>
      <w:bCs/>
      <w:i/>
      <w:iCs/>
      <w:sz w:val="26"/>
      <w:szCs w:val="26"/>
    </w:rPr>
  </w:style>
  <w:style w:type="character" w:styleId="872" w:customStyle="1">
    <w:name w:val="Заголовок 6 Знак"/>
    <w:basedOn w:val="804"/>
    <w:link w:val="861"/>
    <w:uiPriority w:val="9"/>
    <w:semiHidden/>
    <w:rPr>
      <w:b/>
      <w:bCs/>
    </w:rPr>
  </w:style>
  <w:style w:type="character" w:styleId="873" w:customStyle="1">
    <w:name w:val="Заголовок 7 Знак"/>
    <w:basedOn w:val="804"/>
    <w:link w:val="862"/>
    <w:uiPriority w:val="9"/>
    <w:semiHidden/>
    <w:rPr>
      <w:sz w:val="24"/>
      <w:szCs w:val="24"/>
    </w:rPr>
  </w:style>
  <w:style w:type="character" w:styleId="874" w:customStyle="1">
    <w:name w:val="Заголовок 8 Знак"/>
    <w:basedOn w:val="804"/>
    <w:link w:val="863"/>
    <w:uiPriority w:val="9"/>
    <w:semiHidden/>
    <w:rPr>
      <w:i/>
      <w:iCs/>
      <w:sz w:val="24"/>
      <w:szCs w:val="24"/>
    </w:rPr>
  </w:style>
  <w:style w:type="character" w:styleId="875" w:customStyle="1">
    <w:name w:val="Заголовок 9 Знак"/>
    <w:basedOn w:val="804"/>
    <w:link w:val="864"/>
    <w:uiPriority w:val="9"/>
    <w:semiHidden/>
    <w:rPr>
      <w:rFonts w:ascii="Cambria" w:hAnsi="Cambria" w:eastAsia="Cambria"/>
    </w:rPr>
  </w:style>
  <w:style w:type="paragraph" w:styleId="876">
    <w:name w:val="Title"/>
    <w:basedOn w:val="803"/>
    <w:next w:val="803"/>
    <w:link w:val="877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877" w:customStyle="1">
    <w:name w:val="Название Знак"/>
    <w:basedOn w:val="804"/>
    <w:link w:val="876"/>
    <w:uiPriority w:val="10"/>
    <w:rPr>
      <w:rFonts w:ascii="Cambria" w:hAnsi="Cambria" w:eastAsia="Cambria"/>
      <w:b/>
      <w:bCs/>
      <w:sz w:val="32"/>
      <w:szCs w:val="32"/>
    </w:rPr>
  </w:style>
  <w:style w:type="paragraph" w:styleId="878">
    <w:name w:val="Subtitle"/>
    <w:basedOn w:val="803"/>
    <w:next w:val="803"/>
    <w:link w:val="879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879" w:customStyle="1">
    <w:name w:val="Подзаголовок Знак"/>
    <w:basedOn w:val="804"/>
    <w:link w:val="878"/>
    <w:uiPriority w:val="11"/>
    <w:rPr>
      <w:rFonts w:ascii="Cambria" w:hAnsi="Cambria" w:eastAsia="Cambria"/>
      <w:sz w:val="24"/>
      <w:szCs w:val="24"/>
    </w:rPr>
  </w:style>
  <w:style w:type="character" w:styleId="880">
    <w:name w:val="Strong"/>
    <w:basedOn w:val="804"/>
    <w:qFormat/>
    <w:uiPriority w:val="22"/>
    <w:rPr>
      <w:b/>
      <w:bCs/>
    </w:rPr>
  </w:style>
  <w:style w:type="character" w:styleId="881">
    <w:name w:val="Emphasis"/>
    <w:basedOn w:val="804"/>
    <w:qFormat/>
    <w:uiPriority w:val="20"/>
    <w:rPr>
      <w:rFonts w:ascii="Calibri" w:hAnsi="Calibri"/>
      <w:b/>
      <w:i/>
      <w:iCs/>
    </w:rPr>
  </w:style>
  <w:style w:type="paragraph" w:styleId="882">
    <w:name w:val="No Spacing"/>
    <w:basedOn w:val="803"/>
    <w:qFormat/>
    <w:uiPriority w:val="1"/>
    <w:rPr>
      <w:sz w:val="32"/>
      <w:szCs w:val="32"/>
    </w:rPr>
  </w:style>
  <w:style w:type="paragraph" w:styleId="883">
    <w:name w:val="Quote"/>
    <w:basedOn w:val="803"/>
    <w:next w:val="803"/>
    <w:link w:val="884"/>
    <w:qFormat/>
    <w:uiPriority w:val="29"/>
    <w:rPr>
      <w:i/>
    </w:rPr>
  </w:style>
  <w:style w:type="character" w:styleId="884" w:customStyle="1">
    <w:name w:val="Цитата 2 Знак"/>
    <w:basedOn w:val="804"/>
    <w:link w:val="883"/>
    <w:uiPriority w:val="29"/>
    <w:rPr>
      <w:i/>
      <w:sz w:val="24"/>
      <w:szCs w:val="24"/>
    </w:rPr>
  </w:style>
  <w:style w:type="paragraph" w:styleId="885">
    <w:name w:val="Intense Quote"/>
    <w:basedOn w:val="803"/>
    <w:next w:val="803"/>
    <w:link w:val="886"/>
    <w:qFormat/>
    <w:uiPriority w:val="30"/>
    <w:rPr>
      <w:b/>
      <w:i/>
      <w:sz w:val="22"/>
      <w:szCs w:val="22"/>
    </w:rPr>
    <w:pPr>
      <w:ind w:left="720" w:right="720"/>
    </w:pPr>
  </w:style>
  <w:style w:type="character" w:styleId="886" w:customStyle="1">
    <w:name w:val="Выделенная цитата Знак"/>
    <w:basedOn w:val="804"/>
    <w:link w:val="885"/>
    <w:uiPriority w:val="30"/>
    <w:rPr>
      <w:b/>
      <w:i/>
      <w:sz w:val="24"/>
    </w:rPr>
  </w:style>
  <w:style w:type="character" w:styleId="887">
    <w:name w:val="Subtle Emphasis"/>
    <w:qFormat/>
    <w:uiPriority w:val="19"/>
    <w:rPr>
      <w:i/>
      <w:color w:val="5A5A5A" w:themeColor="text1" w:themeTint="A5"/>
    </w:rPr>
  </w:style>
  <w:style w:type="character" w:styleId="888">
    <w:name w:val="Intense Emphasis"/>
    <w:basedOn w:val="804"/>
    <w:qFormat/>
    <w:uiPriority w:val="21"/>
    <w:rPr>
      <w:b/>
      <w:i/>
      <w:sz w:val="24"/>
      <w:szCs w:val="24"/>
      <w:u w:val="single"/>
    </w:rPr>
  </w:style>
  <w:style w:type="character" w:styleId="889">
    <w:name w:val="Subtle Reference"/>
    <w:basedOn w:val="804"/>
    <w:qFormat/>
    <w:uiPriority w:val="31"/>
    <w:rPr>
      <w:sz w:val="24"/>
      <w:szCs w:val="24"/>
      <w:u w:val="single"/>
    </w:rPr>
  </w:style>
  <w:style w:type="character" w:styleId="890">
    <w:name w:val="Intense Reference"/>
    <w:basedOn w:val="804"/>
    <w:qFormat/>
    <w:uiPriority w:val="32"/>
    <w:rPr>
      <w:b/>
      <w:sz w:val="24"/>
      <w:u w:val="single"/>
    </w:rPr>
  </w:style>
  <w:style w:type="character" w:styleId="891">
    <w:name w:val="Book Title"/>
    <w:basedOn w:val="804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892">
    <w:name w:val="TOC Heading"/>
    <w:basedOn w:val="856"/>
    <w:next w:val="803"/>
    <w:qFormat/>
    <w:uiPriority w:val="39"/>
    <w:semiHidden/>
    <w:unhideWhenUsed/>
    <w:pPr>
      <w:outlineLvl w:val="9"/>
    </w:pPr>
  </w:style>
  <w:style w:type="paragraph" w:styleId="893" w:customStyle="1">
    <w:name w:val="rvps2"/>
    <w:basedOn w:val="803"/>
    <w:rPr>
      <w:rFonts w:ascii="Times New Roman" w:hAnsi="Times New Roman" w:eastAsia="Times New Roman"/>
      <w:lang w:val="ru-RU" w:bidi="ar-SA" w:eastAsia="ru-RU"/>
    </w:rPr>
    <w:pPr>
      <w:spacing w:after="100" w:afterAutospacing="1" w:before="100" w:beforeAutospacing="1"/>
    </w:pPr>
  </w:style>
  <w:style w:type="paragraph" w:styleId="894" w:customStyle="1">
    <w:name w:val="Header"/>
    <w:basedOn w:val="803"/>
    <w:link w:val="89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5" w:customStyle="1">
    <w:name w:val="Верхний колонтитул Знак"/>
    <w:basedOn w:val="804"/>
    <w:link w:val="894"/>
    <w:uiPriority w:val="99"/>
    <w:semiHidden/>
    <w:rPr>
      <w:sz w:val="24"/>
      <w:szCs w:val="24"/>
    </w:rPr>
  </w:style>
  <w:style w:type="paragraph" w:styleId="896" w:customStyle="1">
    <w:name w:val="Footer"/>
    <w:basedOn w:val="803"/>
    <w:link w:val="89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7" w:customStyle="1">
    <w:name w:val="Нижний колонтитул Знак"/>
    <w:basedOn w:val="804"/>
    <w:link w:val="896"/>
    <w:uiPriority w:val="99"/>
    <w:rPr>
      <w:sz w:val="24"/>
      <w:szCs w:val="24"/>
    </w:rPr>
  </w:style>
  <w:style w:type="paragraph" w:styleId="898">
    <w:name w:val="Balloon Text"/>
    <w:basedOn w:val="803"/>
    <w:link w:val="899"/>
    <w:uiPriority w:val="99"/>
    <w:semiHidden/>
    <w:unhideWhenUsed/>
    <w:rPr>
      <w:rFonts w:ascii="Tahoma" w:hAnsi="Tahoma" w:cs="Tahoma"/>
      <w:sz w:val="16"/>
      <w:szCs w:val="16"/>
    </w:rPr>
  </w:style>
  <w:style w:type="character" w:styleId="899" w:customStyle="1">
    <w:name w:val="Текст выноски Знак"/>
    <w:basedOn w:val="804"/>
    <w:link w:val="898"/>
    <w:uiPriority w:val="99"/>
    <w:semiHidden/>
    <w:rPr>
      <w:rFonts w:ascii="Tahoma" w:hAnsi="Tahoma" w:cs="Tahoma"/>
      <w:sz w:val="16"/>
      <w:szCs w:val="16"/>
    </w:rPr>
  </w:style>
  <w:style w:type="character" w:styleId="900">
    <w:name w:val="Hyperlink"/>
    <w:basedOn w:val="804"/>
    <w:uiPriority w:val="99"/>
    <w:semiHidden/>
    <w:unhideWhenUsed/>
    <w:rPr>
      <w:color w:val="0000FF"/>
      <w:u w:val="single"/>
    </w:rPr>
  </w:style>
  <w:style w:type="paragraph" w:styleId="901" w:customStyle="1">
    <w:name w:val="Обычный1"/>
    <w:rPr>
      <w:rFonts w:ascii="Times New Roman" w:hAnsi="Times New Roman" w:eastAsia="Times New Roman"/>
      <w:sz w:val="20"/>
      <w:szCs w:val="20"/>
      <w:lang w:val="ru-RU" w:bidi="ar-SA" w:eastAsia="zh-CN"/>
    </w:rPr>
    <w:pPr>
      <w:spacing w:lineRule="auto" w:line="240" w:after="0"/>
      <w:shd w:val="clear" w:fill="auto" w:color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s://uk.wikipedia.org/wiki/%D0%86%D0%B4%D0%B5%D0%BD%D1%82%D0%B8%D1%84%D1%96%D0%BA%D0%B0%D1%86%D1%96%D0%B9%D0%BD%D0%B8%D0%B9_%D0%BD%D0%BE%D0%BC%D0%B5%D1%80_%D1%84%D1%96%D0%B7%D0%B8%D1%87%D0%BD%D0%BE%D1%97_%D0%BE%D1%81%D0%BE%D0%B1%D0%B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14</cp:revision>
  <dcterms:created xsi:type="dcterms:W3CDTF">2021-11-05T07:37:00Z</dcterms:created>
  <dcterms:modified xsi:type="dcterms:W3CDTF">2021-12-10T17:31:24Z</dcterms:modified>
</cp:coreProperties>
</file>