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47"/>
        <w:ind w:left="5669"/>
        <w:jc w:val="both"/>
        <w:spacing w:after="0" w:afterAutospacing="0" w:before="0" w:beforeAutospacing="0"/>
        <w:tabs>
          <w:tab w:val="left" w:pos="10490" w:leader="none"/>
        </w:tabs>
        <w:rPr>
          <w:sz w:val="28"/>
        </w:rPr>
      </w:pPr>
      <w:r>
        <w:rPr>
          <w:sz w:val="28"/>
          <w:lang w:val="uk-UA"/>
        </w:rPr>
        <w:t xml:space="preserve">Додаток 1 </w:t>
      </w:r>
      <w:r/>
    </w:p>
    <w:p>
      <w:pPr>
        <w:pStyle w:val="947"/>
        <w:ind w:left="5669"/>
        <w:jc w:val="both"/>
        <w:spacing w:after="0" w:afterAutospacing="0" w:before="0" w:beforeAutospacing="0"/>
        <w:tabs>
          <w:tab w:val="left" w:pos="10490" w:leader="none"/>
        </w:tabs>
        <w:rPr>
          <w:sz w:val="28"/>
          <w:lang w:val="uk-UA"/>
        </w:rPr>
      </w:pPr>
      <w:r>
        <w:rPr>
          <w:sz w:val="28"/>
          <w:lang w:val="uk-UA"/>
        </w:rPr>
        <w:t xml:space="preserve">до рішення 15 сесії Менської міської ради </w:t>
      </w:r>
      <w:r>
        <w:rPr>
          <w:sz w:val="28"/>
          <w:lang w:val="uk-UA"/>
        </w:rPr>
        <w:t xml:space="preserve">8 скликання </w:t>
      </w:r>
      <w:r/>
    </w:p>
    <w:p>
      <w:pPr>
        <w:pStyle w:val="947"/>
        <w:ind w:left="5669"/>
        <w:jc w:val="both"/>
        <w:spacing w:after="0" w:afterAutospacing="0" w:before="0" w:beforeAutospacing="0"/>
        <w:tabs>
          <w:tab w:val="left" w:pos="10490" w:leader="none"/>
        </w:tabs>
        <w:rPr>
          <w:sz w:val="28"/>
        </w:rPr>
      </w:pPr>
      <w:r>
        <w:rPr>
          <w:sz w:val="28"/>
          <w:lang w:val="uk-UA"/>
        </w:rPr>
        <w:t xml:space="preserve">09 грудня 2021 року № 813</w:t>
      </w:r>
      <w:r/>
    </w:p>
    <w:p>
      <w:pPr>
        <w:pStyle w:val="947"/>
        <w:jc w:val="center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center"/>
        <w:spacing w:after="0" w:afterAutospacing="0" w:before="0" w:beforeAutospacing="0"/>
        <w:tabs>
          <w:tab w:val="left" w:pos="751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tabs>
          <w:tab w:val="left" w:pos="751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tabs>
          <w:tab w:val="left" w:pos="751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tabs>
          <w:tab w:val="left" w:pos="751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tabs>
          <w:tab w:val="left" w:pos="751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tabs>
          <w:tab w:val="left" w:pos="7513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946"/>
        <w:jc w:val="center"/>
        <w:spacing w:after="0" w:afterAutospacing="0" w:before="0" w:beforeAutospacing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  <w:lang w:eastAsia="ru-RU"/>
        </w:rPr>
        <w:t xml:space="preserve">Програма </w:t>
      </w:r>
      <w:r/>
    </w:p>
    <w:p>
      <w:pPr>
        <w:pStyle w:val="946"/>
        <w:jc w:val="center"/>
        <w:spacing w:after="0" w:afterAutospacing="0" w:before="0" w:beforeAutospacing="0"/>
        <w:rPr>
          <w:b/>
          <w:color w:val="000000"/>
          <w:sz w:val="32"/>
          <w:szCs w:val="28"/>
          <w:lang w:eastAsia="ru-RU"/>
        </w:rPr>
      </w:pPr>
      <w:r>
        <w:rPr>
          <w:b/>
          <w:color w:val="000000"/>
          <w:sz w:val="32"/>
          <w:szCs w:val="28"/>
          <w:lang w:eastAsia="ru-RU"/>
        </w:rPr>
        <w:t xml:space="preserve">с</w:t>
      </w:r>
      <w:r>
        <w:rPr>
          <w:b/>
          <w:color w:val="000000"/>
          <w:sz w:val="32"/>
          <w:szCs w:val="28"/>
          <w:lang w:eastAsia="ru-RU"/>
        </w:rPr>
        <w:t xml:space="preserve">оціальної</w:t>
      </w:r>
      <w:r>
        <w:rPr>
          <w:b/>
          <w:color w:val="000000"/>
          <w:sz w:val="32"/>
          <w:szCs w:val="28"/>
          <w:lang w:eastAsia="ru-RU"/>
        </w:rPr>
        <w:t xml:space="preserve"> </w:t>
      </w:r>
      <w:r>
        <w:rPr>
          <w:b/>
          <w:color w:val="000000"/>
          <w:sz w:val="32"/>
          <w:szCs w:val="28"/>
          <w:lang w:eastAsia="ru-RU"/>
        </w:rPr>
        <w:t xml:space="preserve">підтримки жителів </w:t>
      </w:r>
      <w:r/>
    </w:p>
    <w:p>
      <w:pPr>
        <w:pStyle w:val="946"/>
        <w:jc w:val="center"/>
        <w:spacing w:after="0" w:afterAutospacing="0" w:before="0" w:beforeAutospacing="0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  <w:lang w:eastAsia="ru-RU"/>
        </w:rPr>
        <w:t xml:space="preserve">Менської міської територіальної громади </w:t>
      </w:r>
      <w:r/>
    </w:p>
    <w:p>
      <w:pPr>
        <w:pStyle w:val="946"/>
        <w:jc w:val="center"/>
        <w:spacing w:after="0" w:afterAutospacing="0" w:before="0" w:beforeAutospacing="0"/>
        <w:rPr>
          <w:rFonts w:eastAsia="Calibri"/>
          <w:b/>
          <w:sz w:val="32"/>
          <w:szCs w:val="28"/>
        </w:rPr>
      </w:pPr>
      <w:r>
        <w:rPr>
          <w:b/>
          <w:color w:val="000000"/>
          <w:sz w:val="32"/>
          <w:szCs w:val="28"/>
          <w:lang w:eastAsia="ru-RU"/>
        </w:rPr>
        <w:t xml:space="preserve">на 2022 – 2024 роки</w:t>
      </w:r>
      <w:r/>
    </w:p>
    <w:p>
      <w:pPr>
        <w:jc w:val="center"/>
        <w:spacing w:after="0" w:afterAutospacing="0" w:before="0" w:beforeAutospacing="0"/>
        <w:rPr>
          <w:rFonts w:eastAsia="Calibri"/>
          <w:sz w:val="32"/>
          <w:szCs w:val="28"/>
        </w:rPr>
      </w:pPr>
      <w:r>
        <w:rPr>
          <w:rFonts w:eastAsia="Calibri"/>
          <w:sz w:val="32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spacing w:after="0" w:afterAutospacing="0" w:before="0" w:beforeAutospacing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spacing w:after="0" w:afterAutospacing="0" w:before="0" w:before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spacing w:after="0" w:afterAutospacing="0" w:before="0" w:before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spacing w:after="0" w:afterAutospacing="0" w:before="0" w:before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left"/>
        <w:spacing w:after="0" w:afterAutospacing="0" w:before="0" w:beforeAutospacing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jc w:val="center"/>
        <w:spacing w:after="0" w:afterAutospacing="0" w:before="0" w:beforeAutospacing="0"/>
        <w:rPr>
          <w:rFonts w:eastAsia="Calibri"/>
          <w:b w:val="false"/>
          <w:sz w:val="28"/>
          <w:szCs w:val="28"/>
        </w:rPr>
      </w:pPr>
      <w:r>
        <w:rPr>
          <w:rFonts w:eastAsia="Calibri"/>
          <w:b w:val="false"/>
          <w:sz w:val="28"/>
          <w:szCs w:val="28"/>
        </w:rPr>
        <w:t xml:space="preserve">м. Мена</w:t>
      </w:r>
      <w:r>
        <w:rPr>
          <w:b w:val="false"/>
        </w:rPr>
      </w:r>
      <w:r/>
    </w:p>
    <w:p>
      <w:pPr>
        <w:jc w:val="center"/>
        <w:spacing w:after="0" w:afterAutospacing="0" w:before="0" w:beforeAutospacing="0"/>
        <w:rPr>
          <w:rFonts w:eastAsia="Calibri"/>
          <w:b w:val="false"/>
          <w:sz w:val="28"/>
          <w:szCs w:val="28"/>
        </w:rPr>
      </w:pPr>
      <w:r>
        <w:rPr>
          <w:rFonts w:eastAsia="Calibri"/>
          <w:b w:val="false"/>
          <w:sz w:val="28"/>
          <w:szCs w:val="28"/>
        </w:rPr>
        <w:t xml:space="preserve">2021 рік</w:t>
      </w:r>
      <w:r>
        <w:rPr>
          <w:b w:val="false"/>
        </w:rPr>
      </w:r>
      <w:r/>
    </w:p>
    <w:p>
      <w:pPr>
        <w:shd w:val="nil" w:color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highlight w:val="none"/>
          <w:lang w:val="uk-UA"/>
        </w:rPr>
        <w:br w:type="page"/>
      </w:r>
      <w:r>
        <w:rPr>
          <w:b/>
          <w:sz w:val="28"/>
          <w:szCs w:val="28"/>
          <w:highlight w:val="none"/>
          <w:lang w:val="uk-UA"/>
        </w:rPr>
      </w:r>
      <w:r/>
    </w:p>
    <w:p>
      <w:pPr>
        <w:pStyle w:val="947"/>
        <w:ind w:left="708"/>
        <w:jc w:val="center"/>
        <w:spacing w:after="0" w:afterAutospacing="0" w:before="0" w:beforeAutospacing="0"/>
        <w:rPr>
          <w:b/>
          <w:sz w:val="28"/>
          <w:szCs w:val="28"/>
          <w:highlight w:val="none"/>
          <w:lang w:val="uk-UA"/>
        </w:rPr>
      </w:pPr>
      <w:r>
        <w:rPr>
          <w:b/>
          <w:sz w:val="28"/>
          <w:szCs w:val="28"/>
          <w:lang w:val="uk-UA"/>
        </w:rPr>
        <w:t xml:space="preserve">Зміст Програми</w:t>
      </w:r>
      <w:r/>
    </w:p>
    <w:p>
      <w:pPr>
        <w:pStyle w:val="947"/>
        <w:numPr>
          <w:ilvl w:val="0"/>
          <w:numId w:val="9"/>
        </w:numPr>
        <w:ind w:left="0" w:firstLine="0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Паспорт Програми.</w:t>
      </w:r>
      <w:r/>
    </w:p>
    <w:p>
      <w:pPr>
        <w:pStyle w:val="942"/>
        <w:numPr>
          <w:ilvl w:val="0"/>
          <w:numId w:val="9"/>
        </w:numPr>
        <w:ind w:left="0" w:firstLine="0"/>
        <w:spacing w:after="0" w:afterAutospacing="0" w:before="0" w:beforeAutospacing="0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Загальна характеристика Програми соціальної підтримки жителів Менської міської територіальної громади на 2022-2024 роки.</w:t>
      </w:r>
      <w:r/>
    </w:p>
    <w:p>
      <w:pPr>
        <w:pStyle w:val="942"/>
        <w:numPr>
          <w:ilvl w:val="0"/>
          <w:numId w:val="9"/>
        </w:numPr>
        <w:ind w:left="0" w:firstLine="0"/>
        <w:spacing w:after="0" w:afterAutospacing="0" w:before="0" w:beforeAutospacing="0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Визначення проблеми, на розв’язання якої спрямована Програма.</w:t>
      </w:r>
      <w:r/>
    </w:p>
    <w:p>
      <w:pPr>
        <w:pStyle w:val="947"/>
        <w:numPr>
          <w:ilvl w:val="0"/>
          <w:numId w:val="9"/>
        </w:numPr>
        <w:ind w:left="0" w:firstLine="0"/>
        <w:spacing w:after="0" w:afterAutospacing="0" w:before="0" w:beforeAutospacing="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Мета Програми.</w:t>
      </w:r>
      <w:r/>
    </w:p>
    <w:p>
      <w:pPr>
        <w:pStyle w:val="947"/>
        <w:numPr>
          <w:ilvl w:val="0"/>
          <w:numId w:val="9"/>
        </w:numPr>
        <w:ind w:left="0" w:firstLine="0"/>
        <w:spacing w:after="0" w:afterAutospacing="0" w:before="0" w:beforeAutospacing="0"/>
        <w:rPr>
          <w:iCs/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Основні завдання Програми.</w:t>
      </w:r>
      <w:r/>
    </w:p>
    <w:p>
      <w:pPr>
        <w:pStyle w:val="941"/>
        <w:numPr>
          <w:ilvl w:val="0"/>
          <w:numId w:val="9"/>
        </w:numPr>
        <w:ind w:left="0" w:firstLine="0"/>
        <w:jc w:val="left"/>
        <w:spacing w:after="0" w:afterAutospacing="0" w:before="0" w:beforeAutospacing="0"/>
        <w:rPr>
          <w:b w:val="false"/>
        </w:rPr>
      </w:pPr>
      <w:r>
        <w:rPr>
          <w:b w:val="false"/>
        </w:rPr>
        <w:t xml:space="preserve">Джерела фінансування, строки виконання Програми. </w:t>
      </w:r>
      <w:r/>
    </w:p>
    <w:p>
      <w:pPr>
        <w:pStyle w:val="947"/>
        <w:numPr>
          <w:ilvl w:val="0"/>
          <w:numId w:val="9"/>
        </w:numPr>
        <w:ind w:left="0" w:firstLine="0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Заходи та фінансове забезпечення </w:t>
      </w:r>
      <w:r>
        <w:rPr>
          <w:sz w:val="28"/>
          <w:szCs w:val="28"/>
        </w:rPr>
        <w:t xml:space="preserve">Програми.</w:t>
      </w:r>
      <w:r/>
    </w:p>
    <w:p>
      <w:pPr>
        <w:pStyle w:val="947"/>
        <w:numPr>
          <w:ilvl w:val="0"/>
          <w:numId w:val="9"/>
        </w:numPr>
        <w:ind w:left="0" w:firstLine="0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Очікувані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результати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 xml:space="preserve">Програми.</w:t>
      </w:r>
      <w:r/>
    </w:p>
    <w:p>
      <w:pPr>
        <w:pStyle w:val="948"/>
        <w:numPr>
          <w:ilvl w:val="0"/>
          <w:numId w:val="9"/>
        </w:numPr>
        <w:ind w:left="0" w:firstLine="0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Координація та контроль за ходом виконання Програми.</w:t>
      </w:r>
      <w:r/>
    </w:p>
    <w:p>
      <w:pPr>
        <w:pStyle w:val="948"/>
        <w:ind w:left="0" w:firstLine="0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highlight w:val="none"/>
          <w:lang w:val="uk-UA"/>
        </w:rPr>
      </w:r>
      <w:r>
        <w:rPr>
          <w:sz w:val="28"/>
          <w:szCs w:val="28"/>
          <w:highlight w:val="none"/>
          <w:lang w:val="uk-UA"/>
        </w:rPr>
      </w:r>
      <w:r/>
    </w:p>
    <w:p>
      <w:pPr>
        <w:pStyle w:val="942"/>
        <w:numPr>
          <w:ilvl w:val="0"/>
          <w:numId w:val="17"/>
        </w:numPr>
        <w:ind w:left="0" w:right="4" w:firstLine="0"/>
        <w:jc w:val="center"/>
        <w:spacing w:after="0" w:afterAutospacing="0" w:before="0" w:beforeAutospacing="0"/>
        <w:tabs>
          <w:tab w:val="left" w:pos="425" w:leader="none"/>
        </w:tabs>
        <w:rPr>
          <w:b/>
          <w:sz w:val="28"/>
        </w:rPr>
      </w:pPr>
      <w:r>
        <w:rPr>
          <w:b/>
          <w:sz w:val="28"/>
        </w:rPr>
        <w:t xml:space="preserve">ПАСПОРТ</w:t>
      </w:r>
      <w:r/>
    </w:p>
    <w:p>
      <w:pPr>
        <w:pStyle w:val="941"/>
        <w:ind w:left="0" w:firstLine="7"/>
        <w:jc w:val="center"/>
        <w:spacing w:after="0" w:afterAutospacing="0" w:before="0" w:beforeAutospacing="0"/>
      </w:pPr>
      <w:r>
        <w:t xml:space="preserve">Програми соціальної підтримки жителів Менської міської територіальної громади на 2022-2024 роки</w:t>
      </w:r>
      <w:r/>
    </w:p>
    <w:tbl>
      <w:tblPr>
        <w:tblW w:w="10012" w:type="dxa"/>
        <w:tblCellSpacing w:w="0" w:type="dxa"/>
        <w:tblInd w:w="15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shd w:val="clear" w:fill="FFFFFF" w:color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3685"/>
        <w:gridCol w:w="5894"/>
      </w:tblGrid>
      <w:tr>
        <w:trPr>
          <w:tblCellSpacing w:w="0" w:type="dxa"/>
          <w:trHeight w:val="586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Ініціатори розроблення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Менська міська рада</w:t>
            </w:r>
            <w:r/>
          </w:p>
        </w:tc>
      </w:tr>
      <w:tr>
        <w:trPr>
          <w:tblCellSpacing w:w="0" w:type="dxa"/>
          <w:trHeight w:val="858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Підстава для прийняття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jc w:val="both"/>
              <w:spacing w:after="0" w:afterAutospacing="0" w:before="0" w:beforeAutospacing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Закон України «Про місцеве самоврядування в Україні</w:t>
            </w:r>
            <w:r>
              <w:rPr>
                <w:sz w:val="28"/>
                <w:szCs w:val="28"/>
                <w:lang w:eastAsia="ru-RU"/>
              </w:rPr>
              <w:t xml:space="preserve">», інші законодавчі акти та нормативні документи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998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Розробники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textDirection w:val="lrTb"/>
            <w:noWrap/>
          </w:tcPr>
          <w:p>
            <w:pPr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населення, сім’ї, молоді та охорони здоров’я Менської міської ради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Співрозробники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</w:t>
            </w:r>
            <w:r/>
          </w:p>
        </w:tc>
      </w:tr>
      <w:tr>
        <w:trPr>
          <w:tblCellSpacing w:w="0" w:type="dxa"/>
          <w:trHeight w:val="1039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Відповідальний виконавець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jc w:val="both"/>
              <w:spacing w:after="0" w:afterAutospacing="0" w:before="0" w:beforeAutospacing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населення, сім’ї, молоді та охорони здоров’я</w:t>
            </w:r>
            <w:r>
              <w:rPr>
                <w:sz w:val="28"/>
                <w:szCs w:val="28"/>
                <w:lang w:eastAsia="ru-RU"/>
              </w:rPr>
              <w:t xml:space="preserve">, відділ бухгалтерського обліку та звітності Менської міської ради</w:t>
            </w:r>
            <w:r>
              <w:rPr>
                <w:color w:val="FF0000"/>
                <w:sz w:val="28"/>
                <w:szCs w:val="28"/>
              </w:rPr>
            </w:r>
            <w:r/>
          </w:p>
        </w:tc>
      </w:tr>
      <w:tr>
        <w:trPr>
          <w:tblCellSpacing w:w="0" w:type="dxa"/>
          <w:trHeight w:val="1140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Центр надання адміністративних послуг, відділ соціального захисту населення, сім’ї, молоді та охорони здоров’я Менської міської ради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blCellSpacing w:w="0" w:type="dxa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Термін реалізації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2022-2024 роки</w:t>
            </w:r>
            <w:r/>
          </w:p>
        </w:tc>
      </w:tr>
      <w:tr>
        <w:trPr>
          <w:tblCellSpacing w:w="0" w:type="dxa"/>
          <w:trHeight w:val="655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8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Перелік місцевих бюджетів, які беруть участь у виконанні Програми 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Бюджет Менської міської територіальної громади</w:t>
            </w:r>
            <w:r/>
          </w:p>
        </w:tc>
      </w:tr>
      <w:tr>
        <w:trPr>
          <w:tblCellSpacing w:w="0" w:type="dxa"/>
          <w:trHeight w:val="313"/>
        </w:trPr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433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9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3685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реалізації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Програми</w:t>
            </w:r>
            <w:r/>
          </w:p>
        </w:tc>
        <w:tc>
          <w:tcPr>
            <w:shd w:val="clear" w:fill="FFFFFF" w:color="auto"/>
            <w:tcMar>
              <w:left w:w="150" w:type="dxa"/>
              <w:top w:w="75" w:type="dxa"/>
              <w:right w:w="150" w:type="dxa"/>
              <w:bottom w:w="75" w:type="dxa"/>
            </w:tcMar>
            <w:tcW w:w="5894" w:type="dxa"/>
            <w:vAlign w:val="center"/>
            <w:textDirection w:val="lrTb"/>
            <w:noWrap/>
          </w:tcPr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Всього: 3400,0 тис. грн, у тому числі: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2022 р. - 1110,0 тис. грн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</w:t>
            </w:r>
            <w:r/>
          </w:p>
          <w:p>
            <w:pPr>
              <w:spacing w:after="0" w:afterAutospacing="0" w:before="0" w:before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2023 р. - 1140,0 тис. грн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</w:t>
            </w:r>
            <w:r/>
          </w:p>
          <w:p>
            <w:pPr>
              <w:spacing w:after="0" w:afterAutospacing="0" w:before="0" w:beforeAutospacing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2024 р. - 1150,0 тис. грн.</w:t>
            </w:r>
            <w:r/>
          </w:p>
        </w:tc>
      </w:tr>
    </w:tbl>
    <w:p>
      <w:pPr>
        <w:pStyle w:val="946"/>
        <w:ind w:left="0" w:firstLine="0"/>
        <w:jc w:val="center"/>
        <w:spacing w:after="0" w:afterAutospacing="0" w:before="0" w:before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Загальна характеристика Програми соціальної підтримки жителів Менської міської територіальної громадина 2022-2024 роки</w:t>
      </w:r>
      <w:r>
        <w:rPr>
          <w:b/>
          <w:sz w:val="28"/>
          <w:szCs w:val="28"/>
        </w:rPr>
        <w:t xml:space="preserve">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  <w:suppressLineNumbers w:val="0"/>
      </w:pPr>
      <w:r>
        <w:t xml:space="preserve">Соціальний захист є основним завданням соціальної політики, що ставить за мету забезпечення прав і гарантій людини у сфері рівня та якості життя.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Тур</w:t>
      </w:r>
      <w:r>
        <w:t xml:space="preserve">бота про людей, які перебувають у складних життєвих обставинах – один з основних напрямів діяльності Менської міської ради у галузі соціального захисту населення.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Сфера дії соціального захисту – це особа, сім’я, їхній добробут, і не лише матеріальний, а й соціальний, тобто покращення соціального самопочуття людини, впевненості у своєму майбутньому.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Ефективний соціальний захист – це не лише гарантовані державою соціальне забезпечення (пенсії, виплати, доплати) і створена мережа надання соціальних послуг, а й комплекс заходів, що здійснюються на місцевому рівні за рахунок коштів</w:t>
      </w:r>
      <w:r>
        <w:t xml:space="preserve"> </w:t>
      </w:r>
      <w:r>
        <w:t xml:space="preserve">бюджету громади шляхом надання, у доповнення до державного соціального забезпечення, </w:t>
      </w:r>
      <w:r>
        <w:t xml:space="preserve">додаткових гарантій соціального захисту жителям населених пунктів Менської міської територіальної громади.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Основним шляхом поліпшення соціальної ситуації на території громади є відповідне формування місцевої соціальної підтримки.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У сучасних економічних умовах вона набуває особливого значення. Кризові явища та інфляційні процеси, що призвели до зростання тарифів н</w:t>
      </w:r>
      <w:r>
        <w:t xml:space="preserve">а житлово-комунальні послуги, збільшення цін на продукти харчування, медикаменти при одночасному зменшенні реального доходу сімей стали причиною скрутного матеріального становища багатьох мешканців громади, наслідки яких вони не можуть подолати самостійно.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Крім того,</w:t>
      </w:r>
      <w:r>
        <w:t xml:space="preserve"> </w:t>
      </w:r>
      <w:r>
        <w:t xml:space="preserve">демографічна криза, </w:t>
      </w:r>
      <w:r>
        <w:t xml:space="preserve">відтік молодого населення до великих міст приводить до неможливості забезпечити розвиток громади на належному рівні.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Вжиті державою заходи щодо підвищення соціального забезпечення окремих категорій</w:t>
      </w:r>
      <w:r>
        <w:t xml:space="preserve"> населення не покривають додаткових витрат, необхідних для життєдіяльності громадян. Тому необхідно зберегти ті пріоритетні напрямки соціального захисту населення, які дозволяють приділити більше уваги та підтримувати соціально вразливих мешканців громади</w:t>
      </w:r>
      <w:r>
        <w:t xml:space="preserve">, а також підтримувати молоді сім’ї, у яких народилась дитина</w:t>
      </w:r>
      <w:r>
        <w:t xml:space="preserve">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Головне спрямування соціальної Програми – це створення комплексу правових, економічних, психологічних, освітніх, медичних, реабілітаційних та </w:t>
      </w:r>
      <w:r>
        <w:t xml:space="preserve">інших заходів, основною метою яких є поліпшення або відтворення життєдіяльності, соціальної адаптації, повернення до повноцінного життя осіб, які потребують соціальних допомог</w:t>
      </w:r>
      <w:r>
        <w:t xml:space="preserve"> і послуг, а також підтримка сімей громади, у яких народилась дитина.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Враховуючи це, а також надані державою повноваження органам місцевого самоврядування щодо встановлення місцевих соціальних гарантій, фінансування соціальних послуг та розробки програм соціального захисту окремих категорій населення, </w:t>
      </w:r>
      <w:r>
        <w:t xml:space="preserve">Менською міською радою розроблено Програму соціальної підтримки жителів Менської міської територіальної громади на 2022-2024 роки (далі</w:t>
      </w:r>
      <w:r>
        <w:t xml:space="preserve"> </w:t>
      </w:r>
      <w:r>
        <w:t xml:space="preserve">–</w:t>
      </w:r>
      <w:r>
        <w:t xml:space="preserve"> </w:t>
      </w:r>
      <w:r>
        <w:t xml:space="preserve">Програма).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Для забезпечення реа</w:t>
      </w:r>
      <w:r>
        <w:t xml:space="preserve">лізації Програми передбачається виділення цільових коштів, виходячи з фінансових можливостей бюджету територіальної громади.</w:t>
      </w:r>
      <w:r/>
    </w:p>
    <w:p>
      <w:pPr>
        <w:pStyle w:val="946"/>
        <w:jc w:val="center"/>
        <w:spacing w:after="0" w:afterAutospacing="0" w:before="0" w:beforeAutospacing="0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3.Визначення проблем, на розв’язання яких спрямована Програма</w:t>
      </w:r>
      <w:r>
        <w:rPr>
          <w:b/>
          <w:sz w:val="28"/>
          <w:szCs w:val="28"/>
        </w:rPr>
        <w:t xml:space="preserve">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Основними </w:t>
      </w:r>
      <w:r>
        <w:t xml:space="preserve">проблемами </w:t>
      </w:r>
      <w:r>
        <w:t xml:space="preserve">у соціальній сфері громади є:</w:t>
      </w:r>
      <w:r/>
    </w:p>
    <w:p>
      <w:pPr>
        <w:pStyle w:val="942"/>
        <w:numPr>
          <w:ilvl w:val="0"/>
          <w:numId w:val="14"/>
        </w:numPr>
        <w:ind w:left="0" w:right="0" w:firstLine="0"/>
        <w:spacing w:after="0" w:afterAutospacing="0" w:before="0" w:beforeAutospacing="0"/>
        <w:tabs>
          <w:tab w:val="left" w:pos="675" w:leader="none"/>
        </w:tabs>
        <w:rPr>
          <w:sz w:val="28"/>
        </w:rPr>
        <w:suppressLineNumbers w:val="0"/>
      </w:pPr>
      <w:r>
        <w:rPr>
          <w:sz w:val="28"/>
        </w:rPr>
        <w:t xml:space="preserve">недостатні об</w:t>
      </w:r>
      <w:r>
        <w:rPr>
          <w:sz w:val="28"/>
        </w:rPr>
        <w:t xml:space="preserve">сяги державних соціальних гарантій для забезпечення соціального захисту окремих категорій населення;</w:t>
      </w:r>
      <w:r/>
    </w:p>
    <w:p>
      <w:pPr>
        <w:pStyle w:val="942"/>
        <w:numPr>
          <w:ilvl w:val="0"/>
          <w:numId w:val="14"/>
        </w:numPr>
        <w:ind w:left="0" w:right="0" w:firstLine="0"/>
        <w:jc w:val="left"/>
        <w:spacing w:after="0" w:afterAutospacing="0" w:before="0" w:beforeAutospacing="0"/>
        <w:rPr>
          <w:sz w:val="28"/>
        </w:rPr>
        <w:suppressLineNumbers w:val="0"/>
      </w:pPr>
      <w:r>
        <w:rPr>
          <w:sz w:val="28"/>
        </w:rPr>
        <w:t xml:space="preserve">недостатність </w:t>
      </w:r>
      <w:r>
        <w:rPr>
          <w:sz w:val="28"/>
        </w:rPr>
        <w:t xml:space="preserve">фінансування заходів соціального захисту населення.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  <w:suppressLineNumbers w:val="0"/>
      </w:pPr>
      <w:r>
        <w:t xml:space="preserve">Вже багато років поспіль одним з видів соціальної підтримки мешканців громади, які опинились в </w:t>
      </w:r>
      <w:r>
        <w:t xml:space="preserve">скрутній життєвій ситуації, є надання одноразової </w:t>
      </w:r>
      <w:r>
        <w:t xml:space="preserve">адресної </w:t>
      </w:r>
      <w:r>
        <w:t xml:space="preserve">грошової допомоги</w:t>
      </w:r>
      <w:r>
        <w:t xml:space="preserve"> (далі – грошова допомога)</w:t>
      </w:r>
      <w:r>
        <w:t xml:space="preserve">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Останнім часом стрімко зросла кількість з</w:t>
      </w:r>
      <w:r>
        <w:t xml:space="preserve">вернень від громадян, які гостро </w:t>
      </w:r>
      <w:r>
        <w:t xml:space="preserve">потребують </w:t>
      </w:r>
      <w:r>
        <w:t xml:space="preserve">окремих видів соціальних послуг, передусім грошової допомоги на лікування, медико-соціальну реабілітацію, а також на прожиття, придбання продуктів харчування, одягу, ліків, оплату житлово-комунальних послуг тощо.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В умовах проведення в східних регіонах України військових дій є необхідність у наданні додаткових соціальних гарантій учасникам </w:t>
      </w:r>
      <w:r>
        <w:t xml:space="preserve">антитерористичної операції / </w:t>
      </w:r>
      <w:r>
        <w:t xml:space="preserve">операції об’єднаних сил (далі АТО/ООС ), членам їх сімей та членам сімей загиблих/померлих учасників АТО/ООС.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Також гострою є проблеми інвалідності, які пов’язані з наявністю чисельних соціальни</w:t>
      </w:r>
      <w:r>
        <w:t xml:space="preserve">х та фізичних бар’єрів, які не дозволяють особам з обмеженими фізичними можливостями активно включатись до життя суспільства й</w:t>
      </w:r>
      <w:r>
        <w:t xml:space="preserve"> повноцінно брати участь у ньому. Для полегшення життя осіб з інвалідністю необхідно пристосовувати будинки та споруди житлового і громадського призначення, об’єкти дорожньої та транспортної інфраструктур до потреб осіб з обмеженими фізичними можливостями.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З метою забезпечення добробуту, покращення соціального самопочуття людини, розроблено додаткові заходи щодо надання різних видів </w:t>
      </w:r>
      <w:r>
        <w:t xml:space="preserve">грошової</w:t>
      </w:r>
      <w:r>
        <w:t xml:space="preserve"> допомоги. Через </w:t>
      </w:r>
      <w:r>
        <w:t xml:space="preserve">так</w:t>
      </w:r>
      <w:r>
        <w:t xml:space="preserve">у допомогу виконується реабілітаційна функція, що полягає в тому, </w:t>
      </w:r>
      <w:r>
        <w:t xml:space="preserve">щоб допомогти людям, які потрапили в скрутну життєву ситуацію, вийти з цього стану і не опинитися на узбіччі суспільства.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Основними принципами надання соціальних послуг та соціальної допомоги визначено: адресність, індивідуальний підхід, доступність, </w:t>
      </w:r>
      <w:r>
        <w:t xml:space="preserve">відкритість, гуманність, комплексність, максимальна ефективні</w:t>
      </w:r>
      <w:r>
        <w:t xml:space="preserve">сть використання бю</w:t>
      </w:r>
      <w:r>
        <w:t xml:space="preserve">джетних та позабюджетних коштів суб’єктами, що надають соціальні послуги, законність, соціальну справедливість, конфіденційність, дотримання стандартів якості та відповідальність за дотримання етичних і правових норм такими суб’єктами.</w:t>
      </w:r>
      <w:r/>
    </w:p>
    <w:p>
      <w:pPr>
        <w:pStyle w:val="946"/>
        <w:ind w:left="0" w:firstLine="0"/>
        <w:jc w:val="center"/>
        <w:spacing w:after="0" w:afterAutospacing="0" w:before="0" w:beforeAutospacing="0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4. Мета Програми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  <w:rPr>
          <w:highlight w:val="none"/>
        </w:rPr>
      </w:pPr>
      <w:r>
        <w:t xml:space="preserve">Метою Програми є реалізація політики у сфері соціального захисту населення на території Менської міської територіальної громади. Забезпечення додаткових до встановлених законодавством гарантій, щодо соціального захи</w:t>
      </w:r>
      <w:r>
        <w:t xml:space="preserve">сту окремих </w:t>
      </w:r>
      <w:r>
        <w:t xml:space="preserve">категорій </w:t>
      </w:r>
      <w:r>
        <w:t xml:space="preserve">мешканців громади, створення фінансових, організаційно-правових механізмів для досягнення позитивних зрушень щодо рівня та якості життя мешканців громади за рахунок можливостей місцевого самоврядування та у співпраці з громадськістю.</w:t>
      </w:r>
      <w:r/>
    </w:p>
    <w:p>
      <w:pPr>
        <w:pStyle w:val="946"/>
        <w:ind w:left="0" w:firstLine="0"/>
        <w:jc w:val="center"/>
        <w:spacing w:after="0" w:afterAutospacing="0" w:before="0" w:beforeAutospacing="0"/>
        <w:rPr>
          <w:b/>
          <w:sz w:val="28"/>
          <w:highlight w:val="none"/>
        </w:rPr>
      </w:pPr>
      <w:r>
        <w:rPr>
          <w:b/>
          <w:sz w:val="28"/>
        </w:rPr>
        <w:t xml:space="preserve">5. Основні </w:t>
      </w:r>
      <w:r>
        <w:rPr>
          <w:b/>
          <w:sz w:val="28"/>
        </w:rPr>
        <w:t xml:space="preserve">завдання Програми</w:t>
      </w:r>
      <w:r>
        <w:rPr>
          <w:b/>
          <w:sz w:val="28"/>
        </w:rPr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Основним завданням </w:t>
      </w:r>
      <w:r>
        <w:t xml:space="preserve">Програми </w:t>
      </w:r>
      <w:r>
        <w:t xml:space="preserve">є забезпечення ефективного розв’язання соціальни</w:t>
      </w:r>
      <w:r>
        <w:t xml:space="preserve">х проблем мешканців громади, оскільки застосовується до їх вирішення принципи системності та адресності.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Одн</w:t>
      </w:r>
      <w:r>
        <w:t xml:space="preserve">очасно,завданнями Програми є:</w:t>
      </w:r>
      <w:r/>
    </w:p>
    <w:p>
      <w:pPr>
        <w:pStyle w:val="942"/>
        <w:numPr>
          <w:ilvl w:val="1"/>
          <w:numId w:val="14"/>
        </w:numPr>
        <w:ind w:left="0" w:right="-1" w:firstLine="567"/>
        <w:spacing w:after="0" w:afterAutospacing="0" w:before="0" w:beforeAutospacing="0"/>
        <w:tabs>
          <w:tab w:val="left" w:pos="929" w:leader="none"/>
          <w:tab w:val="left" w:pos="2650" w:leader="none"/>
          <w:tab w:val="left" w:pos="4405" w:leader="none"/>
          <w:tab w:val="left" w:pos="5637" w:leader="none"/>
          <w:tab w:val="left" w:pos="7325" w:leader="none"/>
          <w:tab w:val="left" w:pos="8495" w:leader="none"/>
          <w:tab w:val="left" w:pos="9781" w:leader="none"/>
        </w:tabs>
        <w:rPr>
          <w:sz w:val="28"/>
        </w:rPr>
      </w:pPr>
      <w:r>
        <w:rPr>
          <w:sz w:val="28"/>
        </w:rPr>
        <w:t xml:space="preserve">формування</w:t>
      </w:r>
      <w:r>
        <w:rPr>
          <w:sz w:val="28"/>
        </w:rPr>
        <w:tab/>
        <w:t xml:space="preserve">комплексної</w:t>
      </w:r>
      <w:r>
        <w:rPr>
          <w:sz w:val="28"/>
        </w:rPr>
        <w:tab/>
        <w:t xml:space="preserve">системи</w:t>
      </w:r>
      <w:r>
        <w:rPr>
          <w:sz w:val="28"/>
        </w:rPr>
        <w:tab/>
        <w:t xml:space="preserve">соціального</w:t>
      </w:r>
      <w:r>
        <w:rPr>
          <w:sz w:val="28"/>
        </w:rPr>
        <w:tab/>
        <w:t xml:space="preserve">захисту громадян,</w:t>
      </w:r>
      <w:r/>
    </w:p>
    <w:p>
      <w:pPr>
        <w:pStyle w:val="942"/>
        <w:ind w:left="0" w:right="-1" w:firstLine="0"/>
        <w:spacing w:after="0" w:afterAutospacing="0" w:before="0" w:beforeAutospacing="0"/>
        <w:tabs>
          <w:tab w:val="left" w:pos="929" w:leader="none"/>
          <w:tab w:val="left" w:pos="2650" w:leader="none"/>
          <w:tab w:val="left" w:pos="4405" w:leader="none"/>
          <w:tab w:val="left" w:pos="5637" w:leader="none"/>
          <w:tab w:val="left" w:pos="7325" w:leader="none"/>
          <w:tab w:val="left" w:pos="8495" w:leader="none"/>
          <w:tab w:val="left" w:pos="9781" w:leader="none"/>
        </w:tabs>
        <w:rPr>
          <w:sz w:val="28"/>
        </w:rPr>
      </w:pPr>
      <w:r>
        <w:rPr>
          <w:sz w:val="28"/>
        </w:rPr>
        <w:t xml:space="preserve">які потребують соціальної підтримки;</w:t>
      </w:r>
      <w:r/>
    </w:p>
    <w:p>
      <w:pPr>
        <w:pStyle w:val="942"/>
        <w:numPr>
          <w:ilvl w:val="1"/>
          <w:numId w:val="14"/>
        </w:numPr>
        <w:ind w:left="0" w:right="-1" w:firstLine="567"/>
        <w:spacing w:after="0" w:afterAutospacing="0" w:before="0" w:beforeAutospacing="0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удосконалення системи надання соціальної допомоги найбільш вразливим верствам населення, посилення адресної спрямованості;</w:t>
      </w:r>
      <w:r/>
    </w:p>
    <w:p>
      <w:pPr>
        <w:pStyle w:val="942"/>
        <w:numPr>
          <w:ilvl w:val="1"/>
          <w:numId w:val="14"/>
        </w:numPr>
        <w:ind w:left="0" w:right="-1" w:firstLine="567"/>
        <w:spacing w:after="0" w:afterAutospacing="0" w:before="0" w:beforeAutospacing="0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підвищення якості соціального обслуговування громадян, які перебувають у складних життєвих обставинах;</w:t>
      </w:r>
      <w:r/>
    </w:p>
    <w:p>
      <w:pPr>
        <w:pStyle w:val="942"/>
        <w:numPr>
          <w:ilvl w:val="1"/>
          <w:numId w:val="14"/>
        </w:numPr>
        <w:ind w:left="0" w:right="-1" w:firstLine="567"/>
        <w:spacing w:after="0" w:afterAutospacing="0" w:before="0" w:beforeAutospacing="0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продовження роботи щодо удосконалення якості надання соціальних послуг;</w:t>
      </w:r>
      <w:r/>
    </w:p>
    <w:p>
      <w:pPr>
        <w:pStyle w:val="942"/>
        <w:numPr>
          <w:ilvl w:val="1"/>
          <w:numId w:val="14"/>
        </w:numPr>
        <w:ind w:left="0" w:right="-1" w:firstLine="567"/>
        <w:spacing w:after="0" w:afterAutospacing="0" w:before="0" w:beforeAutospacing="0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підтримка сімей, у яких народилась дитина;</w:t>
      </w:r>
      <w:r/>
    </w:p>
    <w:p>
      <w:pPr>
        <w:pStyle w:val="942"/>
        <w:numPr>
          <w:ilvl w:val="1"/>
          <w:numId w:val="14"/>
        </w:numPr>
        <w:ind w:left="0" w:right="-1" w:firstLine="567"/>
        <w:spacing w:after="0" w:afterAutospacing="0" w:before="0" w:beforeAutospacing="0"/>
        <w:tabs>
          <w:tab w:val="left" w:pos="929" w:leader="none"/>
        </w:tabs>
        <w:rPr>
          <w:sz w:val="28"/>
        </w:rPr>
      </w:pPr>
      <w:r>
        <w:rPr>
          <w:sz w:val="28"/>
        </w:rPr>
        <w:t xml:space="preserve">створення умов для максимально раціонального та економного використання коштів бюджету громади, спрямованих на сферу соціальної допомоги.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t xml:space="preserve">Одним з о</w:t>
      </w:r>
      <w:r>
        <w:t xml:space="preserve">сновних шляхів поліпшення соціальної ситуації в громаді є відповідне формування її соціальної політики.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rPr>
          <w:sz w:val="28"/>
          <w:szCs w:val="28"/>
        </w:rPr>
        <w:t xml:space="preserve">Окрім</w:t>
      </w:r>
      <w:r>
        <w:rPr>
          <w:sz w:val="28"/>
          <w:szCs w:val="28"/>
        </w:rPr>
        <w:t xml:space="preserve"> того,</w:t>
      </w:r>
      <w:r>
        <w:rPr>
          <w:sz w:val="28"/>
          <w:szCs w:val="28"/>
        </w:rPr>
        <w:t xml:space="preserve"> використання програмно-цільового методу фінансування заходів </w:t>
      </w:r>
      <w:r>
        <w:rPr>
          <w:sz w:val="28"/>
          <w:szCs w:val="28"/>
        </w:rPr>
        <w:t xml:space="preserve">Програми</w:t>
      </w:r>
      <w:r>
        <w:rPr>
          <w:sz w:val="28"/>
          <w:szCs w:val="28"/>
        </w:rPr>
        <w:t xml:space="preserve"> забезпечує прозорість бюджетного процесу в галузі соціального захисту населення.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Поряд</w:t>
      </w:r>
      <w:r>
        <w:rPr>
          <w:sz w:val="28"/>
          <w:szCs w:val="28"/>
        </w:rPr>
        <w:t xml:space="preserve">ок реалізації </w:t>
      </w:r>
      <w:r>
        <w:rPr>
          <w:color w:val="000000"/>
          <w:sz w:val="28"/>
          <w:szCs w:val="28"/>
          <w:lang w:eastAsia="ru-RU"/>
        </w:rPr>
        <w:t xml:space="preserve">Програми </w:t>
      </w:r>
      <w:r>
        <w:rPr>
          <w:color w:val="000000"/>
          <w:sz w:val="28"/>
          <w:szCs w:val="28"/>
          <w:lang w:eastAsia="ru-RU"/>
        </w:rPr>
        <w:t xml:space="preserve">соціальної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підтримки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жителів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Менської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міської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територіальної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громади на 2022 – 2024 роки є </w:t>
      </w:r>
      <w:r>
        <w:rPr>
          <w:color w:val="000000"/>
          <w:sz w:val="28"/>
          <w:szCs w:val="28"/>
          <w:lang w:eastAsia="ru-RU"/>
        </w:rPr>
        <w:t xml:space="preserve">невід’ємною частиною</w:t>
      </w:r>
      <w:r>
        <w:rPr>
          <w:color w:val="000000"/>
          <w:sz w:val="28"/>
          <w:szCs w:val="28"/>
          <w:lang w:eastAsia="ru-RU"/>
        </w:rPr>
        <w:t xml:space="preserve"> даної Програми (додається).</w:t>
      </w:r>
      <w:r/>
    </w:p>
    <w:p>
      <w:pPr>
        <w:pStyle w:val="946"/>
        <w:ind w:left="0" w:firstLine="0"/>
        <w:jc w:val="center"/>
        <w:spacing w:after="0" w:afterAutospacing="0" w:before="0" w:beforeAutospacing="0"/>
        <w:tabs>
          <w:tab w:val="left" w:pos="283" w:leader="none"/>
          <w:tab w:val="left" w:pos="1559" w:leader="none"/>
        </w:tabs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6. Джерела фінансування, строки виконання Програми</w:t>
      </w:r>
      <w:r>
        <w:rPr>
          <w:b/>
          <w:sz w:val="28"/>
        </w:rPr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Фі</w:t>
      </w:r>
      <w:r>
        <w:rPr>
          <w:sz w:val="28"/>
          <w:szCs w:val="28"/>
        </w:rPr>
        <w:t xml:space="preserve">нансове забезпечення Програми здійснюється за рахунок бюджету Менської міської територіальної громади, а також інших джерел, не заборонених законодавством.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  <w:rPr>
          <w:sz w:val="28"/>
          <w:szCs w:val="28"/>
        </w:rPr>
      </w:pPr>
      <w:r>
        <w:t xml:space="preserve">Обсяг бюджетних призначень, спрямованих на соціальний захист та соціальне забезпечення населення, визначається у видатковій частині бюджету Менської міської територіальної громади відповідно до Програми.</w:t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  <w:rPr>
          <w:sz w:val="28"/>
        </w:rPr>
      </w:pPr>
      <w:r>
        <w:t xml:space="preserve">Вик</w:t>
      </w:r>
      <w:r>
        <w:rPr>
          <w:sz w:val="28"/>
        </w:rPr>
        <w:t xml:space="preserve">онання заходів Програми передбачається у 2022-2024 роках.</w:t>
      </w:r>
      <w:r/>
    </w:p>
    <w:p>
      <w:pPr>
        <w:pStyle w:val="946"/>
        <w:ind w:left="0" w:firstLine="0"/>
        <w:jc w:val="center"/>
        <w:spacing w:after="0" w:afterAutospacing="0" w:before="0" w:beforeAutospacing="0"/>
        <w:tabs>
          <w:tab w:val="left" w:pos="283" w:leader="none"/>
          <w:tab w:val="left" w:pos="1559" w:leader="none"/>
        </w:tabs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7. Заходи </w:t>
      </w:r>
      <w:r>
        <w:rPr>
          <w:b/>
          <w:sz w:val="28"/>
          <w:szCs w:val="28"/>
        </w:rPr>
        <w:t xml:space="preserve">та фінансове забезпечення Програми</w:t>
      </w:r>
      <w:r>
        <w:rPr>
          <w:b/>
          <w:sz w:val="28"/>
          <w:szCs w:val="28"/>
        </w:rPr>
      </w:r>
      <w:r/>
    </w:p>
    <w:tbl>
      <w:tblPr>
        <w:tblStyle w:val="795"/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535"/>
        <w:gridCol w:w="4832"/>
        <w:gridCol w:w="1134"/>
        <w:gridCol w:w="1134"/>
        <w:gridCol w:w="1134"/>
        <w:gridCol w:w="1053"/>
      </w:tblGrid>
      <w:tr>
        <w:trPr>
          <w:gridAfter w:val="4"/>
          <w:tblCellSpacing w:w="0" w:type="dxa"/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  <w:szCs w:val="24"/>
              </w:rPr>
              <w:suppressLineNumbers w:val="0"/>
            </w:pPr>
            <w:r>
              <w:rPr>
                <w:sz w:val="20"/>
                <w:szCs w:val="24"/>
              </w:rPr>
              <w:t xml:space="preserve">№ п/п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  <w:szCs w:val="24"/>
              </w:rPr>
              <w:suppressLineNumbers w:val="0"/>
            </w:pPr>
            <w:r>
              <w:rPr>
                <w:sz w:val="20"/>
                <w:szCs w:val="24"/>
              </w:rPr>
              <w:t xml:space="preserve">Заходи та розмір </w:t>
            </w:r>
            <w:r>
              <w:rPr>
                <w:sz w:val="20"/>
                <w:szCs w:val="24"/>
              </w:rPr>
              <w:t xml:space="preserve">грошової </w:t>
            </w:r>
            <w:r>
              <w:rPr>
                <w:sz w:val="20"/>
                <w:szCs w:val="24"/>
              </w:rPr>
              <w:t xml:space="preserve">допомоги на одну особу/сім’ю на рік (грн).</w:t>
            </w:r>
            <w:r>
              <w:rPr>
                <w:sz w:val="20"/>
              </w:rPr>
            </w:r>
            <w:r/>
          </w:p>
        </w:tc>
      </w:tr>
      <w:tr>
        <w:trPr>
          <w:tblCellSpacing w:w="0" w:type="dxa"/>
          <w:trHeight w:val="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455" w:type="dxa"/>
            <w:vAlign w:val="center"/>
            <w:vMerge w:val="restart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0"/>
                <w:szCs w:val="24"/>
              </w:rPr>
              <w:suppressLineNumbers w:val="0"/>
            </w:pPr>
            <w:r>
              <w:rPr>
                <w:sz w:val="20"/>
                <w:szCs w:val="24"/>
              </w:rPr>
              <w:t xml:space="preserve">Орієнтовна сума (тис.грн)</w:t>
            </w:r>
            <w:r>
              <w:rPr>
                <w:sz w:val="20"/>
              </w:rPr>
            </w:r>
            <w:r/>
          </w:p>
        </w:tc>
      </w:tr>
      <w:tr>
        <w:trPr>
          <w:tblCellSpacing w:w="0" w:type="dxa"/>
          <w:trHeight w:val="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0"/>
                <w:szCs w:val="24"/>
              </w:rPr>
              <w:suppressLineNumbers w:val="0"/>
            </w:pPr>
            <w:r>
              <w:rPr>
                <w:sz w:val="20"/>
                <w:szCs w:val="24"/>
              </w:rPr>
              <w:t xml:space="preserve">2022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0"/>
                <w:szCs w:val="24"/>
              </w:rPr>
              <w:suppressLineNumbers w:val="0"/>
            </w:pPr>
            <w:r>
              <w:rPr>
                <w:sz w:val="20"/>
                <w:szCs w:val="24"/>
              </w:rPr>
              <w:t xml:space="preserve">2023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tabs>
                <w:tab w:val="left" w:pos="874" w:leader="none"/>
                <w:tab w:val="left" w:pos="4677" w:leader="none"/>
                <w:tab w:val="left" w:pos="6561" w:leader="none"/>
              </w:tabs>
              <w:rPr>
                <w:sz w:val="20"/>
                <w:szCs w:val="24"/>
              </w:rPr>
              <w:suppressLineNumbers w:val="0"/>
            </w:pPr>
            <w:r>
              <w:rPr>
                <w:sz w:val="20"/>
                <w:szCs w:val="24"/>
              </w:rPr>
              <w:t xml:space="preserve">2024</w:t>
            </w: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0"/>
                <w:szCs w:val="24"/>
              </w:rPr>
              <w:suppressLineNumbers w:val="0"/>
            </w:pPr>
            <w:r>
              <w:rPr>
                <w:sz w:val="20"/>
                <w:szCs w:val="24"/>
              </w:rPr>
              <w:t xml:space="preserve">всього</w:t>
            </w:r>
            <w:r>
              <w:rPr>
                <w:sz w:val="20"/>
              </w:rPr>
            </w:r>
            <w:r/>
          </w:p>
        </w:tc>
      </w:tr>
      <w:tr>
        <w:trPr>
          <w:tblCellSpacing w:w="0" w:type="dxa"/>
          <w:trHeight w:val="1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грошової</w:t>
            </w:r>
            <w:r>
              <w:rPr>
                <w:sz w:val="28"/>
                <w:szCs w:val="28"/>
              </w:rPr>
              <w:t xml:space="preserve"> допомоги громадянам, які опинились в складних життєвих обставинах: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283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pacing w:val="1"/>
                <w:sz w:val="28"/>
                <w:szCs w:val="28"/>
              </w:rPr>
              <w:t xml:space="preserve">- потребують довготривалого високо</w:t>
            </w:r>
            <w:r>
              <w:rPr>
                <w:spacing w:val="1"/>
                <w:sz w:val="28"/>
                <w:szCs w:val="28"/>
              </w:rPr>
              <w:t xml:space="preserve">вартісного </w:t>
            </w:r>
            <w:r>
              <w:rPr>
                <w:sz w:val="28"/>
                <w:szCs w:val="28"/>
              </w:rPr>
              <w:t xml:space="preserve">лікування</w:t>
            </w:r>
            <w:r>
              <w:rPr>
                <w:spacing w:val="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проведення медичних операцій</w:t>
            </w:r>
            <w:r>
              <w:rPr>
                <w:sz w:val="28"/>
                <w:szCs w:val="28"/>
              </w:rPr>
              <w:t xml:space="preserve"> тощо</w:t>
            </w:r>
            <w:r>
              <w:rPr>
                <w:sz w:val="28"/>
                <w:szCs w:val="28"/>
              </w:rPr>
              <w:t xml:space="preserve"> – до 10000,0 грн;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 потребують стаціонарного лікування – до 5000,0 грн;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 постраждали від пожежі, стихійного лиха чи інших надзвичайних ситуацій – до 5000,0 грн;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bCs/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 інші складні життєві умови (малозабезпечені громадяни, особи з інвалідністю, діти з інвалідністю</w:t>
            </w:r>
            <w:r>
              <w:rPr>
                <w:sz w:val="28"/>
                <w:szCs w:val="28"/>
              </w:rPr>
              <w:t xml:space="preserve"> тощо</w:t>
            </w:r>
            <w:r>
              <w:rPr>
                <w:sz w:val="28"/>
                <w:szCs w:val="28"/>
              </w:rPr>
              <w:t xml:space="preserve">) – від 200,0 грн. до 3000,0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400,0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sz w:val="28"/>
                <w:szCs w:val="20"/>
              </w:rPr>
              <w:suppressLineNumbers w:val="0"/>
            </w:pPr>
            <w:r>
              <w:rPr>
                <w:sz w:val="28"/>
                <w:szCs w:val="20"/>
              </w:rPr>
              <w:t xml:space="preserve">400,0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sz w:val="28"/>
                <w:szCs w:val="20"/>
              </w:rPr>
              <w:suppressLineNumbers w:val="0"/>
            </w:pPr>
            <w:r>
              <w:rPr>
                <w:sz w:val="28"/>
                <w:szCs w:val="20"/>
              </w:rPr>
              <w:t xml:space="preserve">400,0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sz w:val="28"/>
                <w:szCs w:val="20"/>
              </w:rPr>
              <w:suppressLineNumbers w:val="0"/>
            </w:pPr>
            <w:r>
              <w:rPr>
                <w:sz w:val="28"/>
                <w:szCs w:val="20"/>
              </w:rPr>
              <w:t xml:space="preserve">1200,0</w:t>
            </w:r>
            <w:r/>
          </w:p>
        </w:tc>
      </w:tr>
      <w:tr>
        <w:trPr>
          <w:tblCellSpacing w:w="0" w:type="dxa"/>
          <w:trHeight w:val="1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</w:rPr>
              <w:t xml:space="preserve">Надання </w:t>
            </w:r>
            <w:r>
              <w:rPr>
                <w:color w:val="000000" w:themeColor="text1"/>
                <w:sz w:val="28"/>
                <w:szCs w:val="28"/>
              </w:rPr>
              <w:t xml:space="preserve">грошової</w:t>
            </w:r>
            <w:r>
              <w:rPr>
                <w:color w:val="000000" w:themeColor="text1"/>
                <w:sz w:val="28"/>
                <w:szCs w:val="28"/>
              </w:rPr>
              <w:t xml:space="preserve"> допомоги учасникам АТО/ООС та член</w:t>
            </w:r>
            <w:r>
              <w:rPr>
                <w:color w:val="000000" w:themeColor="text1"/>
                <w:sz w:val="28"/>
                <w:szCs w:val="28"/>
              </w:rPr>
              <w:t xml:space="preserve">ам</w:t>
            </w:r>
            <w:r>
              <w:rPr>
                <w:color w:val="000000" w:themeColor="text1"/>
                <w:sz w:val="28"/>
                <w:szCs w:val="28"/>
              </w:rPr>
              <w:t xml:space="preserve"> сімей загиблих /померлих учасників АТО/ООС: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</w:rPr>
              <w:t xml:space="preserve">- в разі поранення, контузії, каліцтва чи захворювання, одержаного під час участі в АТО/ООС – до 15000,0 грн; </w:t>
            </w:r>
            <w:r/>
          </w:p>
          <w:p>
            <w:pPr>
              <w:pStyle w:val="942"/>
              <w:numPr>
                <w:ilvl w:val="0"/>
                <w:numId w:val="18"/>
              </w:numPr>
              <w:ind w:left="0" w:right="0" w:firstLine="0"/>
              <w:spacing w:after="0" w:afterAutospacing="0" w:before="0" w:beforeAutospacing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члену 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сім’ї (іншій особі, яка здійснила поховання)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 на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 проведення </w:t>
            </w:r>
            <w:r>
              <w:rPr>
                <w:color w:val="000000" w:themeColor="text1"/>
                <w:sz w:val="28"/>
                <w:szCs w:val="28"/>
                <w:shd w:val="clear" w:fill="FFFFFF" w:color="auto"/>
              </w:rPr>
              <w:t xml:space="preserve">поховання </w:t>
            </w:r>
            <w:r>
              <w:rPr>
                <w:color w:val="000000" w:themeColor="text1"/>
                <w:sz w:val="28"/>
                <w:szCs w:val="28"/>
              </w:rPr>
              <w:t xml:space="preserve">загиблого/померлого учасника АТО/ООС, у разі встановлення</w:t>
            </w:r>
            <w:r>
              <w:rPr>
                <w:color w:val="000000" w:themeColor="text1"/>
                <w:spacing w:val="1"/>
                <w:sz w:val="28"/>
                <w:szCs w:val="28"/>
              </w:rPr>
              <w:t xml:space="preserve"> причинного </w:t>
            </w:r>
            <w:r>
              <w:rPr>
                <w:color w:val="000000" w:themeColor="text1"/>
                <w:sz w:val="28"/>
                <w:szCs w:val="28"/>
              </w:rPr>
              <w:t xml:space="preserve">зв’язку смерті з пораненням, контузією, каліцтвом чи захворюванням, </w:t>
            </w:r>
            <w:r>
              <w:rPr>
                <w:color w:val="000000" w:themeColor="text1"/>
                <w:sz w:val="28"/>
                <w:szCs w:val="28"/>
              </w:rPr>
              <w:t xml:space="preserve">одержаним під час участі в АТО/ООС – 10000,0 грн;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</w:rPr>
              <w:t xml:space="preserve">- сім’ї учасника АТО/ООС в разі загибелі </w:t>
            </w:r>
            <w:r>
              <w:rPr>
                <w:color w:val="000000" w:themeColor="text1"/>
                <w:sz w:val="28"/>
                <w:szCs w:val="28"/>
              </w:rPr>
              <w:t xml:space="preserve">його </w:t>
            </w:r>
            <w:r>
              <w:rPr>
                <w:color w:val="000000" w:themeColor="text1"/>
                <w:sz w:val="28"/>
                <w:szCs w:val="28"/>
              </w:rPr>
              <w:t xml:space="preserve">під час б</w:t>
            </w:r>
            <w:r>
              <w:rPr>
                <w:color w:val="000000" w:themeColor="text1"/>
                <w:sz w:val="28"/>
                <w:szCs w:val="28"/>
              </w:rPr>
              <w:t xml:space="preserve">езпосередньої участі в АТО/ООС </w:t>
            </w:r>
            <w:r>
              <w:rPr>
                <w:color w:val="000000" w:themeColor="text1"/>
                <w:sz w:val="28"/>
                <w:szCs w:val="28"/>
              </w:rPr>
              <w:t xml:space="preserve">– 30000,0 грн;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  <w:highlight w:val="none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</w:rPr>
              <w:t xml:space="preserve">- сім’ям загиблого/померлого учасника АТО/ООС, у разі встановлення</w:t>
            </w:r>
            <w:r>
              <w:rPr>
                <w:color w:val="000000" w:themeColor="text1"/>
                <w:spacing w:val="1"/>
                <w:sz w:val="28"/>
                <w:szCs w:val="28"/>
              </w:rPr>
              <w:t xml:space="preserve"> причинного </w:t>
            </w:r>
            <w:r>
              <w:rPr>
                <w:color w:val="000000" w:themeColor="text1"/>
                <w:sz w:val="28"/>
                <w:szCs w:val="28"/>
              </w:rPr>
              <w:t xml:space="preserve">зв’язку смерті з пораненням, контузією, каліцтвом чи захворюванням, одержаним під час участі в АТО/ООС – 5000,0 грн;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</w:rPr>
              <w:t xml:space="preserve">- підвіз сімей загиблих учасників АТО/ООС на пам’ятні та меморіальні дати (транспортні послуги, придбання ПММ тощо) – до 4 000,0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color w:val="000000"/>
                <w:sz w:val="28"/>
              </w:rPr>
              <w:suppressLineNumbers w:val="0"/>
            </w:pPr>
            <w:r>
              <w:rPr>
                <w:color w:val="000000" w:themeColor="text1"/>
                <w:sz w:val="28"/>
              </w:rPr>
              <w:t xml:space="preserve">120,0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color w:val="000000"/>
                <w:sz w:val="28"/>
              </w:rPr>
              <w:suppressLineNumbers w:val="0"/>
            </w:pPr>
            <w:r>
              <w:rPr>
                <w:color w:val="000000" w:themeColor="text1"/>
                <w:sz w:val="28"/>
              </w:rPr>
              <w:t xml:space="preserve">120,0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color w:val="000000"/>
                <w:sz w:val="28"/>
              </w:rPr>
              <w:suppressLineNumbers w:val="0"/>
            </w:pPr>
            <w:r>
              <w:rPr>
                <w:color w:val="000000" w:themeColor="text1"/>
                <w:sz w:val="28"/>
              </w:rPr>
              <w:t xml:space="preserve">120,0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color w:val="000000" w:themeColor="text1"/>
                <w:sz w:val="28"/>
                <w:szCs w:val="28"/>
              </w:rPr>
              <w:t xml:space="preserve">360,0</w:t>
            </w:r>
            <w:r/>
          </w:p>
        </w:tc>
      </w:tr>
      <w:tr>
        <w:trPr>
          <w:tblCellSpacing w:w="0" w:type="dxa"/>
          <w:trHeight w:val="1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грошової </w:t>
            </w:r>
            <w:r>
              <w:rPr>
                <w:sz w:val="28"/>
                <w:szCs w:val="28"/>
              </w:rPr>
              <w:t xml:space="preserve">допомоги на часткову оплату комунальних послу</w:t>
            </w:r>
            <w:r>
              <w:rPr>
                <w:color w:val="000000" w:themeColor="text1"/>
                <w:sz w:val="28"/>
                <w:szCs w:val="28"/>
              </w:rPr>
              <w:t xml:space="preserve">г: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 сім’ям загиблих/померлих учасників АТО/ООС – у розмірі 2000,00 грн.;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 сім’ям загиблих воїнів-афганців – 2000,00 грн;</w:t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bCs/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- особам з інвалідністю І та ІІ групи по зору: І група - 2000,00 грн; ІІ групи- 1500,00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150,0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170,0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480,0</w:t>
            </w:r>
            <w:r/>
          </w:p>
        </w:tc>
      </w:tr>
      <w:tr>
        <w:trPr>
          <w:tblCellSpacing w:w="0" w:type="dxa"/>
          <w:trHeight w:val="1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bCs/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грошової </w:t>
            </w:r>
            <w:r>
              <w:rPr>
                <w:sz w:val="28"/>
                <w:szCs w:val="28"/>
              </w:rPr>
              <w:t xml:space="preserve">допомоги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оплату проїзду особам, які отримують програмний гемодіаліз </w:t>
            </w:r>
            <w:r>
              <w:rPr>
                <w:color w:val="000000"/>
                <w:sz w:val="28"/>
                <w:szCs w:val="28"/>
              </w:rPr>
              <w:t xml:space="preserve">в медичних закладах Чернігівської області – </w:t>
            </w:r>
            <w:r>
              <w:rPr>
                <w:color w:val="000000"/>
                <w:sz w:val="28"/>
                <w:szCs w:val="28"/>
              </w:rPr>
              <w:t xml:space="preserve">180</w:t>
            </w:r>
            <w:r>
              <w:rPr>
                <w:color w:val="000000"/>
                <w:sz w:val="28"/>
                <w:szCs w:val="28"/>
              </w:rPr>
              <w:t xml:space="preserve">00,00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0"/>
              </w:rPr>
              <w:suppressLineNumbers w:val="0"/>
            </w:pPr>
            <w:r>
              <w:rPr>
                <w:sz w:val="28"/>
                <w:szCs w:val="20"/>
              </w:rPr>
              <w:t xml:space="preserve">130,0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0"/>
              </w:rPr>
              <w:suppressLineNumbers w:val="0"/>
            </w:pPr>
            <w:r>
              <w:rPr>
                <w:sz w:val="28"/>
                <w:szCs w:val="20"/>
              </w:rPr>
              <w:t xml:space="preserve">130,0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0"/>
              </w:rPr>
              <w:suppressLineNumbers w:val="0"/>
            </w:pPr>
            <w:r>
              <w:rPr>
                <w:sz w:val="28"/>
                <w:szCs w:val="20"/>
              </w:rPr>
              <w:t xml:space="preserve">130,0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0"/>
              </w:rPr>
              <w:suppressLineNumbers w:val="0"/>
            </w:pPr>
            <w:r>
              <w:rPr>
                <w:sz w:val="28"/>
                <w:szCs w:val="20"/>
              </w:rPr>
              <w:t xml:space="preserve">390,0</w:t>
            </w:r>
            <w:r/>
          </w:p>
        </w:tc>
      </w:tr>
      <w:tr>
        <w:trPr>
          <w:tblCellSpacing w:w="0" w:type="dxa"/>
          <w:trHeight w:val="6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shd w:val="clear" w:fill="FFFFFF" w:color="auto"/>
              <w:tabs>
                <w:tab w:val="left" w:pos="1022" w:leader="none"/>
              </w:tabs>
              <w:rPr>
                <w:bCs/>
                <w:sz w:val="28"/>
                <w:szCs w:val="28"/>
              </w:rPr>
              <w:suppressLineNumbers w:val="0"/>
            </w:pPr>
            <w:r>
              <w:rPr>
                <w:color w:val="000000"/>
                <w:sz w:val="28"/>
                <w:szCs w:val="28"/>
              </w:rPr>
              <w:t xml:space="preserve">Надання </w:t>
            </w:r>
            <w:r>
              <w:rPr>
                <w:color w:val="000000"/>
                <w:sz w:val="28"/>
                <w:szCs w:val="28"/>
              </w:rPr>
              <w:t xml:space="preserve">грошової</w:t>
            </w:r>
            <w:r>
              <w:rPr>
                <w:color w:val="000000"/>
                <w:sz w:val="28"/>
                <w:szCs w:val="28"/>
              </w:rPr>
              <w:t xml:space="preserve"> допомоги при народженні дитини – 1500,00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4"/>
              </w:rPr>
              <w:suppressLineNumbers w:val="0"/>
            </w:pPr>
            <w:r>
              <w:rPr>
                <w:sz w:val="28"/>
                <w:szCs w:val="24"/>
              </w:rPr>
              <w:t xml:space="preserve">210,0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4"/>
              </w:rPr>
              <w:suppressLineNumbers w:val="0"/>
            </w:pPr>
            <w:r>
              <w:rPr>
                <w:sz w:val="28"/>
                <w:szCs w:val="24"/>
              </w:rPr>
              <w:t xml:space="preserve">210,0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4"/>
              </w:rPr>
              <w:suppressLineNumbers w:val="0"/>
            </w:pPr>
            <w:r>
              <w:rPr>
                <w:sz w:val="28"/>
                <w:szCs w:val="24"/>
              </w:rPr>
              <w:t xml:space="preserve">210,0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0"/>
              </w:rPr>
              <w:suppressLineNumbers w:val="0"/>
            </w:pPr>
            <w:r>
              <w:rPr>
                <w:sz w:val="28"/>
                <w:szCs w:val="20"/>
              </w:rPr>
              <w:t xml:space="preserve">630,0</w:t>
            </w:r>
            <w:r/>
          </w:p>
        </w:tc>
      </w:tr>
      <w:tr>
        <w:trPr>
          <w:tblCellSpacing w:w="0" w:type="dxa"/>
          <w:trHeight w:val="1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textDirection w:val="lrTb"/>
            <w:noWrap/>
          </w:tcPr>
          <w:p>
            <w:pPr>
              <w:pStyle w:val="946"/>
              <w:ind w:left="0" w:right="0" w:firstLine="0"/>
              <w:jc w:val="both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Надання </w:t>
            </w:r>
            <w:r>
              <w:rPr>
                <w:sz w:val="28"/>
                <w:szCs w:val="28"/>
              </w:rPr>
              <w:t xml:space="preserve">грошов</w:t>
            </w:r>
            <w:r>
              <w:rPr>
                <w:sz w:val="28"/>
                <w:szCs w:val="28"/>
              </w:rPr>
              <w:t xml:space="preserve">ої допомоги на поховання громадян, які на день смерті не працювали, не перебували на обліку в центрі зайнятості та не                             отримували пенсії, допомог – 1000,00 грн.</w:t>
            </w:r>
            <w:r>
              <w:rPr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50,0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170,0</w:t>
            </w:r>
            <w:r/>
          </w:p>
        </w:tc>
      </w:tr>
      <w:tr>
        <w:trPr>
          <w:tblCellSpacing w:w="0" w:type="dxa"/>
          <w:trHeight w:val="1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8"/>
              </w:rPr>
              <w:suppressLineNumbers w:val="0"/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Оплата ритуальних послуг при похованні безрідних, бездомних, невідомих та осіб від поховання, яких відмовились родичі – до 5000,00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50,0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60,0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ind w:left="0" w:right="0" w:firstLine="0"/>
              <w:jc w:val="center"/>
              <w:spacing w:after="0" w:afterAutospacing="0" w:before="0" w:beforeAutospacing="0"/>
              <w:rPr>
                <w:sz w:val="28"/>
                <w:szCs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170,0</w:t>
            </w:r>
            <w:r/>
          </w:p>
        </w:tc>
      </w:tr>
      <w:tr>
        <w:trPr>
          <w:tblCellSpacing w:w="0" w:type="dxa"/>
          <w:trHeight w:val="3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  <w:suppressLineNumbers w:val="0"/>
            </w:pP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32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Всього: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1110,0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1140,0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ind w:left="0" w:right="0" w:firstLine="0"/>
              <w:jc w:val="both"/>
              <w:spacing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</w:rPr>
              <w:suppressLineNumbers w:val="0"/>
            </w:pPr>
            <w:r>
              <w:rPr>
                <w:sz w:val="28"/>
                <w:szCs w:val="28"/>
              </w:rPr>
              <w:t xml:space="preserve">1150,0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3" w:type="dxa"/>
            <w:vAlign w:val="center"/>
            <w:textDirection w:val="lrTb"/>
            <w:noWrap/>
          </w:tcPr>
          <w:p>
            <w:pPr>
              <w:ind w:left="0" w:right="0" w:firstLine="0"/>
              <w:spacing w:after="0" w:afterAutospacing="0" w:before="0" w:beforeAutospacing="0"/>
              <w:rPr>
                <w:sz w:val="28"/>
              </w:rPr>
              <w:suppressLineNumbers w:val="0"/>
            </w:pPr>
            <w:r>
              <w:rPr>
                <w:sz w:val="28"/>
              </w:rPr>
              <w:t xml:space="preserve">3400,0</w:t>
            </w:r>
            <w:r/>
          </w:p>
        </w:tc>
      </w:tr>
    </w:tbl>
    <w:p>
      <w:pPr>
        <w:pStyle w:val="946"/>
        <w:ind w:left="0" w:firstLine="0"/>
        <w:jc w:val="center"/>
        <w:spacing w:after="0" w:afterAutospacing="0" w:before="0" w:beforeAutospacing="0"/>
        <w:tabs>
          <w:tab w:val="left" w:pos="283" w:leader="none"/>
          <w:tab w:val="left" w:pos="1559" w:leader="none"/>
        </w:tabs>
        <w:rPr>
          <w:b/>
          <w:sz w:val="28"/>
          <w:highlight w:val="none"/>
        </w:rPr>
      </w:pPr>
      <w:r>
        <w:rPr>
          <w:b/>
          <w:sz w:val="28"/>
        </w:rPr>
        <w:t xml:space="preserve">8. Очікуванні </w:t>
      </w:r>
      <w:r>
        <w:rPr>
          <w:b/>
          <w:sz w:val="28"/>
        </w:rPr>
        <w:t xml:space="preserve">результати виконання Програми</w:t>
      </w:r>
      <w:r>
        <w:rPr>
          <w:b/>
          <w:sz w:val="28"/>
        </w:rPr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  <w:rPr>
          <w:highlight w:val="none"/>
        </w:rPr>
        <w:suppressLineNumbers w:val="0"/>
      </w:pPr>
      <w:r>
        <w:t xml:space="preserve">Виконання Програми дасть змогу забезпечити соціальний захист окремим категоріям громадян, які потребують допомоги та соціальної підтримки, вирішити найбільш гострі та болючі проблеми цих громадян, які самостійно не можуть їх подолати.</w:t>
      </w:r>
      <w:r>
        <w:t xml:space="preserve"> Крім того, реалізація одного із напрямків Програми дасть можливість забезпечити підтримку сімей, у яких народилась дитина.</w:t>
      </w:r>
      <w:r/>
    </w:p>
    <w:p>
      <w:pPr>
        <w:pStyle w:val="946"/>
        <w:ind w:left="0" w:firstLine="0"/>
        <w:jc w:val="center"/>
        <w:spacing w:after="0" w:afterAutospacing="0" w:before="0" w:beforeAutospacing="0"/>
        <w:tabs>
          <w:tab w:val="left" w:pos="283" w:leader="none"/>
          <w:tab w:val="left" w:pos="1559" w:leader="none"/>
        </w:tabs>
        <w:rPr>
          <w:b/>
          <w:sz w:val="28"/>
        </w:rPr>
      </w:pPr>
      <w:r>
        <w:rPr>
          <w:b/>
          <w:sz w:val="28"/>
        </w:rPr>
        <w:t xml:space="preserve">9. Координація </w:t>
      </w:r>
      <w:r>
        <w:rPr>
          <w:b/>
          <w:sz w:val="28"/>
        </w:rPr>
        <w:t xml:space="preserve">та контроль за ходом виконання Програми</w:t>
      </w:r>
      <w:r>
        <w:rPr>
          <w:b/>
          <w:sz w:val="28"/>
        </w:rPr>
      </w:r>
      <w:r/>
    </w:p>
    <w:p>
      <w:pPr>
        <w:pStyle w:val="940"/>
        <w:ind w:left="0" w:right="0"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Контроль за реалізацією Програми покладається на </w:t>
      </w:r>
      <w:r>
        <w:rPr>
          <w:color w:val="000000"/>
          <w:spacing w:val="1"/>
          <w:sz w:val="28"/>
          <w:szCs w:val="28"/>
          <w:lang w:val="uk-UA"/>
        </w:rPr>
        <w:t xml:space="preserve">постійну комісі</w:t>
      </w:r>
      <w:r>
        <w:rPr>
          <w:color w:val="000000"/>
          <w:spacing w:val="1"/>
          <w:sz w:val="28"/>
          <w:szCs w:val="28"/>
          <w:lang w:val="uk-UA"/>
        </w:rPr>
        <w:t xml:space="preserve">ю </w:t>
      </w:r>
      <w:r>
        <w:rPr>
          <w:color w:val="000000"/>
          <w:sz w:val="28"/>
          <w:szCs w:val="28"/>
          <w:lang w:val="uk-UA"/>
        </w:rPr>
        <w:t xml:space="preserve">Менської міської ради з </w:t>
      </w:r>
      <w:r>
        <w:rPr>
          <w:sz w:val="28"/>
          <w:szCs w:val="28"/>
          <w:lang w:val="uk-UA"/>
        </w:rPr>
        <w:t xml:space="preserve">питань охорони здоров’я та соціального захисту населення,</w:t>
      </w:r>
      <w:r>
        <w:rPr>
          <w:sz w:val="28"/>
          <w:szCs w:val="28"/>
          <w:lang w:val="uk-UA"/>
        </w:rPr>
        <w:t xml:space="preserve"> освіти, культури, молоді, фізкультури і спорту, постійну комісію з питань планування, фінансів, бюджету та соціально-економічного розвитку, заступників міського голови з питань діяльності виконавчих органів ради згідно розподілу функціональних обов’</w:t>
      </w:r>
      <w:r>
        <w:rPr>
          <w:sz w:val="28"/>
          <w:szCs w:val="28"/>
          <w:lang w:val="ru-RU" w:eastAsia="ru-RU"/>
        </w:rPr>
        <w:t xml:space="preserve">язків</w:t>
      </w:r>
      <w:r>
        <w:rPr>
          <w:sz w:val="28"/>
          <w:szCs w:val="28"/>
          <w:lang w:val="uk-UA"/>
        </w:rPr>
        <w:t xml:space="preserve">.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/>
        </w:rPr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none"/>
          <w:lang w:val="uk-UA" w:bidi="hi-IN" w:eastAsia="hi-IN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highlight w:val="none"/>
          <w:lang w:val="uk-UA" w:bidi="hi-IN" w:eastAsia="hi-IN"/>
        </w:rPr>
      </w:pPr>
      <w:r>
        <w:rPr>
          <w:rFonts w:ascii="Times New Roman" w:hAnsi="Times New Roman" w:cs="Times New Roman" w:eastAsia="Batang"/>
          <w:sz w:val="28"/>
          <w:lang w:val="uk-UA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Начальник відділу соціального захисту 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населення, сім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’ї, молоді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</w:t>
      </w:r>
      <w:r>
        <w:rPr>
          <w:rFonts w:ascii="Times New Roman" w:hAnsi="Times New Roman" w:cs="Mangal" w:eastAsia="Lucida Sans Unicode"/>
          <w:color w:val="000000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6520" w:leader="none"/>
        </w:tabs>
        <w:rPr>
          <w:rFonts w:ascii="Times New Roman" w:hAnsi="Times New Roman" w:cs="Times New Roman" w:eastAsia="Batang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здоров’я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міської </w:t>
      </w:r>
      <w:r>
        <w:rPr>
          <w:rFonts w:ascii="Times New Roman" w:hAnsi="Times New Roman" w:cs="Times New Roman" w:eastAsia="Batang"/>
          <w:sz w:val="28"/>
          <w:lang w:val="uk-UA"/>
        </w:rPr>
        <w:t xml:space="preserve">ради</w:t>
        <w:tab/>
        <w:t xml:space="preserve">Марина МОСКАЛЬЧУК</w:t>
      </w:r>
      <w:r>
        <w:rPr>
          <w:color w:val="000000"/>
          <w:sz w:val="28"/>
          <w:szCs w:val="28"/>
          <w:highlight w:val="none"/>
          <w:lang w:val="uk-UA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10" w:h="16840" w:orient="portrait"/>
      <w:pgMar w:top="1134" w:right="567" w:bottom="1134" w:left="1701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Batang">
    <w:panose1 w:val="02020603020101020101"/>
  </w:font>
  <w:font w:name="Calibri">
    <w:panose1 w:val="020F050202020403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newromanpsmt">
    <w:panose1 w:val="020704090202050204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  <w:jc w:val="right"/>
      <w:tabs>
        <w:tab w:val="left" w:pos="2835" w:leader="none"/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/>
    <w:r>
      <w:tab/>
    </w:r>
    <w:r>
      <w:rPr>
        <w:i/>
      </w:rPr>
      <w:t xml:space="preserve">Продовження додатка</w:t>
    </w:r>
    <w:r/>
  </w:p>
  <w:p>
    <w:pPr>
      <w:pStyle w:val="78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576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19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858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997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137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27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415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555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94" w:hanging="221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317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240" w:hanging="317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317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317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317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317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317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317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317"/>
      </w:pPr>
      <w:rPr>
        <w:rFonts w:hint="default"/>
        <w:lang w:val="uk-UA" w:bidi="ar-SA" w:eastAsia="en-U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-36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97" w:hanging="428"/>
        <w:jc w:val="right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bullet"/>
      <w:isLgl w:val="false"/>
      <w:suff w:val="tab"/>
      <w:lvlText w:val="•"/>
      <w:lvlJc w:val="left"/>
      <w:pPr>
        <w:ind w:left="3023" w:hanging="773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8" w:hanging="773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3" w:hanging="773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7" w:hanging="773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2" w:hanging="773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7" w:hanging="773"/>
      </w:pPr>
      <w:rPr>
        <w:rFonts w:hint="default"/>
        <w:lang w:val="uk-UA" w:bidi="ar-SA" w:eastAsia="en-U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4" w:hanging="284"/>
        <w:jc w:val="right"/>
      </w:pPr>
      <w:rPr>
        <w:rFonts w:ascii="Times New Roman" w:hAnsi="Times New Roman" w:cs="Times New Roman" w:eastAsia="Times New Roman" w:hint="default"/>
        <w:b/>
        <w:bCs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107" w:hanging="284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925" w:hanging="28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744" w:hanging="28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562" w:hanging="28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381" w:hanging="28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199" w:hanging="28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017" w:hanging="28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6836" w:hanging="284"/>
      </w:pPr>
      <w:rPr>
        <w:rFonts w:hint="default"/>
        <w:lang w:val="uk-UA" w:bidi="ar-SA" w:eastAsia="en-U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02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574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646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718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90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62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934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1006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786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8" w:hanging="1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16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16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16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16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16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16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164"/>
      </w:pPr>
      <w:rPr>
        <w:rFonts w:hint="default"/>
        <w:lang w:val="uk-UA" w:bidi="ar-SA" w:eastAsia="en-U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1" w:hanging="339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2"/>
      <w:numFmt w:val="decimal"/>
      <w:isLgl w:val="false"/>
      <w:suff w:val="tab"/>
      <w:lvlText w:val="%2."/>
      <w:lvlJc w:val="left"/>
      <w:pPr>
        <w:ind w:left="1416" w:hanging="281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638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563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488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41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338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263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189" w:hanging="281"/>
      </w:pPr>
      <w:rPr>
        <w:rFonts w:hint="default"/>
        <w:lang w:val="uk-UA" w:bidi="ar-SA" w:eastAsia="en-U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  <w:rPr>
        <w:rFonts w:ascii="Times New Roman" w:hAnsi="Times New Roman" w:cs="Times New Roman" w:eastAsia="Times New Roman"/>
        <w:b/>
        <w:bCs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"/>
      <w:lvlJc w:val="left"/>
      <w:pPr>
        <w:ind w:left="0" w:firstLine="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4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0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38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 w:hint="default"/>
      </w:rPr>
    </w:lvl>
  </w:abstractNum>
  <w:abstractNum w:abstractNumId="31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364" w:hanging="221"/>
        <w:jc w:val="right"/>
      </w:pPr>
      <w:rPr>
        <w:rFonts w:ascii="Times New Roman" w:hAnsi="Times New Roman" w:cs="Times New Roman" w:eastAsia="Times New Roman" w:hint="default"/>
        <w:sz w:val="20"/>
        <w:szCs w:val="20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521" w:hanging="22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682" w:hanging="22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843" w:hanging="22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1005" w:hanging="22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1166" w:hanging="22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1327" w:hanging="22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1489" w:hanging="22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1650" w:hanging="221"/>
      </w:pPr>
      <w:rPr>
        <w:rFonts w:hint="default"/>
        <w:lang w:val="uk-UA" w:bidi="ar-SA" w:eastAsia="en-U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9" w:hanging="284"/>
        <w:jc w:val="right"/>
      </w:pPr>
      <w:rPr>
        <w:rFonts w:ascii="Times New Roman" w:hAnsi="Times New Roman" w:cs="Times New Roman" w:eastAsia="Times New Roman" w:hint="default"/>
        <w:sz w:val="24"/>
        <w:szCs w:val="24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5026" w:hanging="360"/>
        <w:jc w:val="right"/>
      </w:pPr>
      <w:rPr>
        <w:rFonts w:hint="default"/>
        <w:b/>
        <w:bCs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5620" w:hanging="360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6220" w:hanging="360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6821" w:hanging="360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7421" w:hanging="360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8022" w:hanging="360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622" w:hanging="360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223" w:hanging="360"/>
      </w:pPr>
      <w:rPr>
        <w:rFonts w:hint="default"/>
        <w:lang w:val="uk-UA" w:bidi="ar-SA" w:eastAsia="en-U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31"/>
  </w:num>
  <w:num w:numId="2">
    <w:abstractNumId w:val="0"/>
  </w:num>
  <w:num w:numId="3">
    <w:abstractNumId w:val="33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6"/>
  </w:num>
  <w:num w:numId="9">
    <w:abstractNumId w:val="25"/>
  </w:num>
  <w:num w:numId="10">
    <w:abstractNumId w:val="3"/>
  </w:num>
  <w:num w:numId="11">
    <w:abstractNumId w:val="21"/>
  </w:num>
  <w:num w:numId="12">
    <w:abstractNumId w:val="8"/>
  </w:num>
  <w:num w:numId="13">
    <w:abstractNumId w:val="24"/>
    <w:lvlOverride w:ilvl="0">
      <w:startOverride w:val="1"/>
    </w:lvlOverride>
  </w:num>
  <w:num w:numId="14">
    <w:abstractNumId w:val="20"/>
  </w:num>
  <w:num w:numId="15">
    <w:abstractNumId w:val="9"/>
  </w:num>
  <w:num w:numId="16">
    <w:abstractNumId w:val="29"/>
  </w:num>
  <w:num w:numId="17">
    <w:abstractNumId w:val="15"/>
  </w:num>
  <w:num w:numId="18">
    <w:abstractNumId w:val="35"/>
  </w:num>
  <w:num w:numId="19">
    <w:abstractNumId w:val="32"/>
  </w:num>
  <w:num w:numId="20">
    <w:abstractNumId w:val="19"/>
  </w:num>
  <w:num w:numId="21">
    <w:abstractNumId w:val="30"/>
  </w:num>
  <w:num w:numId="22">
    <w:abstractNumId w:val="5"/>
  </w:num>
  <w:num w:numId="23">
    <w:abstractNumId w:val="26"/>
  </w:num>
  <w:num w:numId="24">
    <w:abstractNumId w:val="22"/>
  </w:num>
  <w:num w:numId="25">
    <w:abstractNumId w:val="4"/>
  </w:num>
  <w:num w:numId="26">
    <w:abstractNumId w:val="28"/>
  </w:num>
  <w:num w:numId="27">
    <w:abstractNumId w:val="10"/>
  </w:num>
  <w:num w:numId="28">
    <w:abstractNumId w:val="14"/>
  </w:num>
  <w:num w:numId="29">
    <w:abstractNumId w:val="7"/>
  </w:num>
  <w:num w:numId="30">
    <w:abstractNumId w:val="34"/>
  </w:num>
  <w:num w:numId="31">
    <w:abstractNumId w:val="27"/>
  </w:num>
  <w:num w:numId="32">
    <w:abstractNumId w:val="23"/>
  </w:num>
  <w:num w:numId="33">
    <w:abstractNumId w:val="2"/>
  </w:num>
  <w:num w:numId="34">
    <w:abstractNumId w:val="13"/>
  </w:num>
  <w:num w:numId="35">
    <w:abstractNumId w:val="18"/>
  </w:num>
  <w:num w:numId="36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4" w:default="1">
    <w:name w:val="Normal"/>
    <w:qFormat/>
    <w:uiPriority w:val="1"/>
    <w:rPr>
      <w:rFonts w:ascii="Times New Roman" w:hAnsi="Times New Roman" w:cs="Times New Roman" w:eastAsia="Times New Roman"/>
      <w:lang w:val="uk-UA"/>
    </w:rPr>
  </w:style>
  <w:style w:type="character" w:styleId="755" w:default="1">
    <w:name w:val="Default Paragraph Font"/>
    <w:uiPriority w:val="1"/>
    <w:semiHidden/>
    <w:unhideWhenUsed/>
  </w:style>
  <w:style w:type="table" w:styleId="7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7" w:default="1">
    <w:name w:val="No List"/>
    <w:uiPriority w:val="99"/>
    <w:semiHidden/>
    <w:unhideWhenUsed/>
  </w:style>
  <w:style w:type="character" w:styleId="758" w:customStyle="1">
    <w:name w:val="Title Char"/>
    <w:basedOn w:val="755"/>
    <w:link w:val="781"/>
    <w:uiPriority w:val="10"/>
    <w:rPr>
      <w:sz w:val="48"/>
      <w:szCs w:val="48"/>
    </w:rPr>
  </w:style>
  <w:style w:type="character" w:styleId="759" w:customStyle="1">
    <w:name w:val="Subtitle Char"/>
    <w:basedOn w:val="755"/>
    <w:link w:val="783"/>
    <w:uiPriority w:val="11"/>
    <w:rPr>
      <w:sz w:val="24"/>
      <w:szCs w:val="24"/>
    </w:rPr>
  </w:style>
  <w:style w:type="character" w:styleId="760" w:customStyle="1">
    <w:name w:val="Quote Char"/>
    <w:link w:val="785"/>
    <w:uiPriority w:val="29"/>
    <w:rPr>
      <w:i/>
    </w:rPr>
  </w:style>
  <w:style w:type="character" w:styleId="761" w:customStyle="1">
    <w:name w:val="Intense Quote Char"/>
    <w:link w:val="787"/>
    <w:uiPriority w:val="30"/>
    <w:rPr>
      <w:i/>
    </w:rPr>
  </w:style>
  <w:style w:type="character" w:styleId="762" w:customStyle="1">
    <w:name w:val="Footnote Text Char"/>
    <w:link w:val="922"/>
    <w:uiPriority w:val="99"/>
    <w:rPr>
      <w:sz w:val="18"/>
    </w:rPr>
  </w:style>
  <w:style w:type="character" w:styleId="763" w:customStyle="1">
    <w:name w:val="Endnote Text Char"/>
    <w:link w:val="925"/>
    <w:uiPriority w:val="99"/>
    <w:rPr>
      <w:sz w:val="20"/>
    </w:rPr>
  </w:style>
  <w:style w:type="character" w:styleId="764" w:customStyle="1">
    <w:name w:val="Heading 1 Char"/>
    <w:basedOn w:val="755"/>
    <w:link w:val="941"/>
    <w:uiPriority w:val="9"/>
    <w:rPr>
      <w:rFonts w:ascii="Arial" w:hAnsi="Arial" w:cs="Arial" w:eastAsia="Arial"/>
      <w:sz w:val="40"/>
      <w:szCs w:val="40"/>
    </w:rPr>
  </w:style>
  <w:style w:type="paragraph" w:styleId="765" w:customStyle="1">
    <w:name w:val="Heading 2"/>
    <w:basedOn w:val="754"/>
    <w:next w:val="754"/>
    <w:link w:val="7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6" w:customStyle="1">
    <w:name w:val="Heading 2 Char"/>
    <w:basedOn w:val="755"/>
    <w:link w:val="765"/>
    <w:uiPriority w:val="9"/>
    <w:rPr>
      <w:rFonts w:ascii="Arial" w:hAnsi="Arial" w:cs="Arial" w:eastAsia="Arial"/>
      <w:sz w:val="34"/>
    </w:rPr>
  </w:style>
  <w:style w:type="paragraph" w:styleId="767" w:customStyle="1">
    <w:name w:val="Heading 3"/>
    <w:basedOn w:val="754"/>
    <w:next w:val="754"/>
    <w:link w:val="7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68" w:customStyle="1">
    <w:name w:val="Heading 3 Char"/>
    <w:basedOn w:val="755"/>
    <w:link w:val="767"/>
    <w:uiPriority w:val="9"/>
    <w:rPr>
      <w:rFonts w:ascii="Arial" w:hAnsi="Arial" w:cs="Arial" w:eastAsia="Arial"/>
      <w:sz w:val="30"/>
      <w:szCs w:val="30"/>
    </w:rPr>
  </w:style>
  <w:style w:type="paragraph" w:styleId="769" w:customStyle="1">
    <w:name w:val="Heading 4"/>
    <w:basedOn w:val="754"/>
    <w:next w:val="754"/>
    <w:link w:val="7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70" w:customStyle="1">
    <w:name w:val="Heading 4 Char"/>
    <w:basedOn w:val="755"/>
    <w:link w:val="769"/>
    <w:uiPriority w:val="9"/>
    <w:rPr>
      <w:rFonts w:ascii="Arial" w:hAnsi="Arial" w:cs="Arial" w:eastAsia="Arial"/>
      <w:b/>
      <w:bCs/>
      <w:sz w:val="26"/>
      <w:szCs w:val="26"/>
    </w:rPr>
  </w:style>
  <w:style w:type="paragraph" w:styleId="771" w:customStyle="1">
    <w:name w:val="Heading 5"/>
    <w:basedOn w:val="754"/>
    <w:next w:val="754"/>
    <w:link w:val="7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2" w:customStyle="1">
    <w:name w:val="Heading 5 Char"/>
    <w:basedOn w:val="755"/>
    <w:link w:val="771"/>
    <w:uiPriority w:val="9"/>
    <w:rPr>
      <w:rFonts w:ascii="Arial" w:hAnsi="Arial" w:cs="Arial" w:eastAsia="Arial"/>
      <w:b/>
      <w:bCs/>
      <w:sz w:val="24"/>
      <w:szCs w:val="24"/>
    </w:rPr>
  </w:style>
  <w:style w:type="paragraph" w:styleId="773" w:customStyle="1">
    <w:name w:val="Heading 6"/>
    <w:basedOn w:val="754"/>
    <w:next w:val="754"/>
    <w:link w:val="77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74" w:customStyle="1">
    <w:name w:val="Heading 6 Char"/>
    <w:basedOn w:val="755"/>
    <w:link w:val="773"/>
    <w:uiPriority w:val="9"/>
    <w:rPr>
      <w:rFonts w:ascii="Arial" w:hAnsi="Arial" w:cs="Arial" w:eastAsia="Arial"/>
      <w:b/>
      <w:bCs/>
      <w:sz w:val="22"/>
      <w:szCs w:val="22"/>
    </w:rPr>
  </w:style>
  <w:style w:type="paragraph" w:styleId="775" w:customStyle="1">
    <w:name w:val="Heading 7"/>
    <w:basedOn w:val="754"/>
    <w:next w:val="754"/>
    <w:link w:val="776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76" w:customStyle="1">
    <w:name w:val="Heading 7 Char"/>
    <w:basedOn w:val="755"/>
    <w:link w:val="7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7" w:customStyle="1">
    <w:name w:val="Heading 8"/>
    <w:basedOn w:val="754"/>
    <w:next w:val="754"/>
    <w:link w:val="77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78" w:customStyle="1">
    <w:name w:val="Heading 8 Char"/>
    <w:basedOn w:val="755"/>
    <w:link w:val="777"/>
    <w:uiPriority w:val="9"/>
    <w:rPr>
      <w:rFonts w:ascii="Arial" w:hAnsi="Arial" w:cs="Arial" w:eastAsia="Arial"/>
      <w:i/>
      <w:iCs/>
      <w:sz w:val="22"/>
      <w:szCs w:val="22"/>
    </w:rPr>
  </w:style>
  <w:style w:type="paragraph" w:styleId="779" w:customStyle="1">
    <w:name w:val="Heading 9"/>
    <w:basedOn w:val="754"/>
    <w:next w:val="754"/>
    <w:link w:val="7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80" w:customStyle="1">
    <w:name w:val="Heading 9 Char"/>
    <w:basedOn w:val="755"/>
    <w:link w:val="779"/>
    <w:uiPriority w:val="9"/>
    <w:rPr>
      <w:rFonts w:ascii="Arial" w:hAnsi="Arial" w:cs="Arial" w:eastAsia="Arial"/>
      <w:i/>
      <w:iCs/>
      <w:sz w:val="21"/>
      <w:szCs w:val="21"/>
    </w:rPr>
  </w:style>
  <w:style w:type="paragraph" w:styleId="781">
    <w:name w:val="Title"/>
    <w:basedOn w:val="754"/>
    <w:next w:val="754"/>
    <w:link w:val="78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82" w:customStyle="1">
    <w:name w:val="Название Знак"/>
    <w:basedOn w:val="755"/>
    <w:link w:val="781"/>
    <w:uiPriority w:val="10"/>
    <w:rPr>
      <w:sz w:val="48"/>
      <w:szCs w:val="48"/>
    </w:rPr>
  </w:style>
  <w:style w:type="paragraph" w:styleId="783">
    <w:name w:val="Subtitle"/>
    <w:basedOn w:val="754"/>
    <w:next w:val="754"/>
    <w:link w:val="784"/>
    <w:qFormat/>
    <w:uiPriority w:val="11"/>
    <w:rPr>
      <w:sz w:val="24"/>
      <w:szCs w:val="24"/>
    </w:rPr>
    <w:pPr>
      <w:spacing w:after="200" w:before="200"/>
    </w:pPr>
  </w:style>
  <w:style w:type="character" w:styleId="784" w:customStyle="1">
    <w:name w:val="Подзаголовок Знак"/>
    <w:basedOn w:val="755"/>
    <w:link w:val="783"/>
    <w:uiPriority w:val="11"/>
    <w:rPr>
      <w:sz w:val="24"/>
      <w:szCs w:val="24"/>
    </w:rPr>
  </w:style>
  <w:style w:type="paragraph" w:styleId="785">
    <w:name w:val="Quote"/>
    <w:basedOn w:val="754"/>
    <w:next w:val="754"/>
    <w:link w:val="786"/>
    <w:qFormat/>
    <w:uiPriority w:val="29"/>
    <w:rPr>
      <w:i/>
    </w:rPr>
    <w:pPr>
      <w:ind w:left="720" w:right="720"/>
    </w:pPr>
  </w:style>
  <w:style w:type="character" w:styleId="786" w:customStyle="1">
    <w:name w:val="Цитата 2 Знак"/>
    <w:link w:val="785"/>
    <w:uiPriority w:val="29"/>
    <w:rPr>
      <w:i/>
    </w:rPr>
  </w:style>
  <w:style w:type="paragraph" w:styleId="787">
    <w:name w:val="Intense Quote"/>
    <w:basedOn w:val="754"/>
    <w:next w:val="754"/>
    <w:link w:val="78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8" w:customStyle="1">
    <w:name w:val="Выделенная цитата Знак"/>
    <w:link w:val="787"/>
    <w:uiPriority w:val="30"/>
    <w:rPr>
      <w:i/>
    </w:rPr>
  </w:style>
  <w:style w:type="paragraph" w:styleId="789" w:customStyle="1">
    <w:name w:val="Header"/>
    <w:basedOn w:val="754"/>
    <w:link w:val="79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0" w:customStyle="1">
    <w:name w:val="Header Char"/>
    <w:basedOn w:val="755"/>
    <w:link w:val="789"/>
    <w:uiPriority w:val="99"/>
  </w:style>
  <w:style w:type="paragraph" w:styleId="791" w:customStyle="1">
    <w:name w:val="Footer"/>
    <w:basedOn w:val="754"/>
    <w:link w:val="7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92" w:customStyle="1">
    <w:name w:val="Footer Char"/>
    <w:basedOn w:val="755"/>
    <w:link w:val="791"/>
    <w:uiPriority w:val="99"/>
  </w:style>
  <w:style w:type="paragraph" w:styleId="793" w:customStyle="1">
    <w:name w:val="Caption"/>
    <w:basedOn w:val="754"/>
    <w:next w:val="7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4" w:customStyle="1">
    <w:name w:val="Caption Char"/>
    <w:link w:val="791"/>
    <w:uiPriority w:val="99"/>
  </w:style>
  <w:style w:type="table" w:styleId="795">
    <w:name w:val="Table Grid"/>
    <w:basedOn w:val="756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Table Grid Light"/>
    <w:basedOn w:val="75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Plain Table 1"/>
    <w:basedOn w:val="75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Plain Table 2"/>
    <w:basedOn w:val="75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 w:customStyle="1">
    <w:name w:val="Plain Table 3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0" w:customStyle="1">
    <w:name w:val="Plain Table 4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Plain Table 5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2" w:customStyle="1">
    <w:name w:val="Grid Table 1 Light"/>
    <w:basedOn w:val="75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1"/>
    <w:basedOn w:val="75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2"/>
    <w:basedOn w:val="75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3"/>
    <w:basedOn w:val="75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4"/>
    <w:basedOn w:val="75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5"/>
    <w:basedOn w:val="75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Grid Table 1 Light - Accent 6"/>
    <w:basedOn w:val="75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Grid Table 2"/>
    <w:basedOn w:val="75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1"/>
    <w:basedOn w:val="75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2"/>
    <w:basedOn w:val="75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3"/>
    <w:basedOn w:val="75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4"/>
    <w:basedOn w:val="75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5"/>
    <w:basedOn w:val="75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2 - Accent 6"/>
    <w:basedOn w:val="75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"/>
    <w:basedOn w:val="75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1"/>
    <w:basedOn w:val="75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2"/>
    <w:basedOn w:val="75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3"/>
    <w:basedOn w:val="75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4"/>
    <w:basedOn w:val="75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5"/>
    <w:basedOn w:val="75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3 - Accent 6"/>
    <w:basedOn w:val="75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4"/>
    <w:basedOn w:val="75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4" w:customStyle="1">
    <w:name w:val="Grid Table 4 - Accent 1"/>
    <w:basedOn w:val="75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25" w:customStyle="1">
    <w:name w:val="Grid Table 4 - Accent 2"/>
    <w:basedOn w:val="75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26" w:customStyle="1">
    <w:name w:val="Grid Table 4 - Accent 3"/>
    <w:basedOn w:val="75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27" w:customStyle="1">
    <w:name w:val="Grid Table 4 - Accent 4"/>
    <w:basedOn w:val="75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28" w:customStyle="1">
    <w:name w:val="Grid Table 4 - Accent 5"/>
    <w:basedOn w:val="75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9" w:customStyle="1">
    <w:name w:val="Grid Table 4 - Accent 6"/>
    <w:basedOn w:val="75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0" w:customStyle="1">
    <w:name w:val="Grid Table 5 Dark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- Accent 1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2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 - Accent 3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- Accent 4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5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36" w:customStyle="1">
    <w:name w:val="Grid Table 5 Dark - Accent 6"/>
    <w:basedOn w:val="75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37" w:customStyle="1">
    <w:name w:val="Grid Table 6 Colorful"/>
    <w:basedOn w:val="75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8" w:customStyle="1">
    <w:name w:val="Grid Table 6 Colorful - Accent 1"/>
    <w:basedOn w:val="75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9" w:customStyle="1">
    <w:name w:val="Grid Table 6 Colorful - Accent 2"/>
    <w:basedOn w:val="75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0" w:customStyle="1">
    <w:name w:val="Grid Table 6 Colorful - Accent 3"/>
    <w:basedOn w:val="75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1" w:customStyle="1">
    <w:name w:val="Grid Table 6 Colorful - Accent 4"/>
    <w:basedOn w:val="75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42" w:customStyle="1">
    <w:name w:val="Grid Table 6 Colorful - Accent 5"/>
    <w:basedOn w:val="75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3" w:customStyle="1">
    <w:name w:val="Grid Table 6 Colorful - Accent 6"/>
    <w:basedOn w:val="75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44" w:customStyle="1">
    <w:name w:val="Grid Table 7 Colorful"/>
    <w:basedOn w:val="75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1"/>
    <w:basedOn w:val="75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2"/>
    <w:basedOn w:val="75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3"/>
    <w:basedOn w:val="75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4"/>
    <w:basedOn w:val="75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5"/>
    <w:basedOn w:val="75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Grid Table 7 Colorful - Accent 6"/>
    <w:basedOn w:val="75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1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2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3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4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5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1 Light - Accent 6"/>
    <w:basedOn w:val="75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2"/>
    <w:basedOn w:val="75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9" w:customStyle="1">
    <w:name w:val="List Table 2 - Accent 1"/>
    <w:basedOn w:val="75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0" w:customStyle="1">
    <w:name w:val="List Table 2 - Accent 2"/>
    <w:basedOn w:val="75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1" w:customStyle="1">
    <w:name w:val="List Table 2 - Accent 3"/>
    <w:basedOn w:val="75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62" w:customStyle="1">
    <w:name w:val="List Table 2 - Accent 4"/>
    <w:basedOn w:val="75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63" w:customStyle="1">
    <w:name w:val="List Table 2 - Accent 5"/>
    <w:basedOn w:val="75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64" w:customStyle="1">
    <w:name w:val="List Table 2 - Accent 6"/>
    <w:basedOn w:val="75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65" w:customStyle="1">
    <w:name w:val="List Table 3"/>
    <w:basedOn w:val="75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1"/>
    <w:basedOn w:val="75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2"/>
    <w:basedOn w:val="75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3"/>
    <w:basedOn w:val="75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4"/>
    <w:basedOn w:val="75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5"/>
    <w:basedOn w:val="75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List Table 3 - Accent 6"/>
    <w:basedOn w:val="75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"/>
    <w:basedOn w:val="75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1"/>
    <w:basedOn w:val="75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2"/>
    <w:basedOn w:val="75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3"/>
    <w:basedOn w:val="75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4"/>
    <w:basedOn w:val="75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5"/>
    <w:basedOn w:val="75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4 - Accent 6"/>
    <w:basedOn w:val="75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5 Dark"/>
    <w:basedOn w:val="75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1"/>
    <w:basedOn w:val="75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2"/>
    <w:basedOn w:val="75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3"/>
    <w:basedOn w:val="75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4"/>
    <w:basedOn w:val="75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5"/>
    <w:basedOn w:val="75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List Table 5 Dark - Accent 6"/>
    <w:basedOn w:val="75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6" w:customStyle="1">
    <w:name w:val="List Table 6 Colorful"/>
    <w:basedOn w:val="75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7" w:customStyle="1">
    <w:name w:val="List Table 6 Colorful - Accent 1"/>
    <w:basedOn w:val="75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88" w:customStyle="1">
    <w:name w:val="List Table 6 Colorful - Accent 2"/>
    <w:basedOn w:val="75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9" w:customStyle="1">
    <w:name w:val="List Table 6 Colorful - Accent 3"/>
    <w:basedOn w:val="75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0" w:customStyle="1">
    <w:name w:val="List Table 6 Colorful - Accent 4"/>
    <w:basedOn w:val="75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1" w:customStyle="1">
    <w:name w:val="List Table 6 Colorful - Accent 5"/>
    <w:basedOn w:val="75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92" w:customStyle="1">
    <w:name w:val="List Table 6 Colorful - Accent 6"/>
    <w:basedOn w:val="75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93" w:customStyle="1">
    <w:name w:val="List Table 7 Colorful"/>
    <w:basedOn w:val="75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1"/>
    <w:basedOn w:val="75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2"/>
    <w:basedOn w:val="75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3"/>
    <w:basedOn w:val="75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4"/>
    <w:basedOn w:val="75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5"/>
    <w:basedOn w:val="75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st Table 7 Colorful - Accent 6"/>
    <w:basedOn w:val="75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Lined - Accent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1" w:customStyle="1">
    <w:name w:val="Lined - Accent 1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2" w:customStyle="1">
    <w:name w:val="Lined - Accent 2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03" w:customStyle="1">
    <w:name w:val="Lined - Accent 3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04" w:customStyle="1">
    <w:name w:val="Lined - Accent 4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05" w:customStyle="1">
    <w:name w:val="Lined - Accent 5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06" w:customStyle="1">
    <w:name w:val="Lined - Accent 6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07" w:customStyle="1">
    <w:name w:val="Bordered &amp; Lined - Accent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08" w:customStyle="1">
    <w:name w:val="Bordered &amp; Lined - Accent 1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09" w:customStyle="1">
    <w:name w:val="Bordered &amp; Lined - Accent 2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10" w:customStyle="1">
    <w:name w:val="Bordered &amp; Lined - Accent 3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11" w:customStyle="1">
    <w:name w:val="Bordered &amp; Lined - Accent 4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12" w:customStyle="1">
    <w:name w:val="Bordered &amp; Lined - Accent 5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13" w:customStyle="1">
    <w:name w:val="Bordered &amp; Lined - Accent 6"/>
    <w:basedOn w:val="756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14" w:customStyle="1">
    <w:name w:val="Bordered"/>
    <w:basedOn w:val="75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5" w:customStyle="1">
    <w:name w:val="Bordered - Accent 1"/>
    <w:basedOn w:val="75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16" w:customStyle="1">
    <w:name w:val="Bordered - Accent 2"/>
    <w:basedOn w:val="75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17" w:customStyle="1">
    <w:name w:val="Bordered - Accent 3"/>
    <w:basedOn w:val="75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18" w:customStyle="1">
    <w:name w:val="Bordered - Accent 4"/>
    <w:basedOn w:val="75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9" w:customStyle="1">
    <w:name w:val="Bordered - Accent 5"/>
    <w:basedOn w:val="75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20" w:customStyle="1">
    <w:name w:val="Bordered - Accent 6"/>
    <w:basedOn w:val="75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21">
    <w:name w:val="Hyperlink"/>
    <w:uiPriority w:val="99"/>
    <w:unhideWhenUsed/>
    <w:rPr>
      <w:color w:val="0000FF" w:themeColor="hyperlink"/>
      <w:u w:val="single"/>
    </w:rPr>
  </w:style>
  <w:style w:type="paragraph" w:styleId="922">
    <w:name w:val="footnote text"/>
    <w:basedOn w:val="754"/>
    <w:link w:val="923"/>
    <w:uiPriority w:val="99"/>
    <w:semiHidden/>
    <w:unhideWhenUsed/>
    <w:rPr>
      <w:sz w:val="18"/>
    </w:rPr>
    <w:pPr>
      <w:spacing w:after="40"/>
    </w:pPr>
  </w:style>
  <w:style w:type="character" w:styleId="923" w:customStyle="1">
    <w:name w:val="Текст сноски Знак"/>
    <w:link w:val="922"/>
    <w:uiPriority w:val="99"/>
    <w:rPr>
      <w:sz w:val="18"/>
    </w:rPr>
  </w:style>
  <w:style w:type="character" w:styleId="924">
    <w:name w:val="footnote reference"/>
    <w:basedOn w:val="755"/>
    <w:uiPriority w:val="99"/>
    <w:unhideWhenUsed/>
    <w:rPr>
      <w:vertAlign w:val="superscript"/>
    </w:rPr>
  </w:style>
  <w:style w:type="paragraph" w:styleId="925">
    <w:name w:val="endnote text"/>
    <w:basedOn w:val="754"/>
    <w:link w:val="926"/>
    <w:uiPriority w:val="99"/>
    <w:semiHidden/>
    <w:unhideWhenUsed/>
    <w:rPr>
      <w:sz w:val="20"/>
    </w:rPr>
  </w:style>
  <w:style w:type="character" w:styleId="926" w:customStyle="1">
    <w:name w:val="Текст концевой сноски Знак"/>
    <w:link w:val="925"/>
    <w:uiPriority w:val="99"/>
    <w:rPr>
      <w:sz w:val="20"/>
    </w:rPr>
  </w:style>
  <w:style w:type="character" w:styleId="927">
    <w:name w:val="endnote reference"/>
    <w:basedOn w:val="755"/>
    <w:uiPriority w:val="99"/>
    <w:semiHidden/>
    <w:unhideWhenUsed/>
    <w:rPr>
      <w:vertAlign w:val="superscript"/>
    </w:rPr>
  </w:style>
  <w:style w:type="paragraph" w:styleId="928">
    <w:name w:val="toc 1"/>
    <w:basedOn w:val="754"/>
    <w:next w:val="754"/>
    <w:uiPriority w:val="39"/>
    <w:unhideWhenUsed/>
    <w:pPr>
      <w:spacing w:after="57"/>
    </w:pPr>
  </w:style>
  <w:style w:type="paragraph" w:styleId="929">
    <w:name w:val="toc 2"/>
    <w:basedOn w:val="754"/>
    <w:next w:val="754"/>
    <w:uiPriority w:val="39"/>
    <w:unhideWhenUsed/>
    <w:pPr>
      <w:ind w:left="283"/>
      <w:spacing w:after="57"/>
    </w:pPr>
  </w:style>
  <w:style w:type="paragraph" w:styleId="930">
    <w:name w:val="toc 3"/>
    <w:basedOn w:val="754"/>
    <w:next w:val="754"/>
    <w:uiPriority w:val="39"/>
    <w:unhideWhenUsed/>
    <w:pPr>
      <w:ind w:left="567"/>
      <w:spacing w:after="57"/>
    </w:pPr>
  </w:style>
  <w:style w:type="paragraph" w:styleId="931">
    <w:name w:val="toc 4"/>
    <w:basedOn w:val="754"/>
    <w:next w:val="754"/>
    <w:uiPriority w:val="39"/>
    <w:unhideWhenUsed/>
    <w:pPr>
      <w:ind w:left="850"/>
      <w:spacing w:after="57"/>
    </w:pPr>
  </w:style>
  <w:style w:type="paragraph" w:styleId="932">
    <w:name w:val="toc 5"/>
    <w:basedOn w:val="754"/>
    <w:next w:val="754"/>
    <w:uiPriority w:val="39"/>
    <w:unhideWhenUsed/>
    <w:pPr>
      <w:ind w:left="1134"/>
      <w:spacing w:after="57"/>
    </w:pPr>
  </w:style>
  <w:style w:type="paragraph" w:styleId="933">
    <w:name w:val="toc 6"/>
    <w:basedOn w:val="754"/>
    <w:next w:val="754"/>
    <w:uiPriority w:val="39"/>
    <w:unhideWhenUsed/>
    <w:pPr>
      <w:ind w:left="1417"/>
      <w:spacing w:after="57"/>
    </w:pPr>
  </w:style>
  <w:style w:type="paragraph" w:styleId="934">
    <w:name w:val="toc 7"/>
    <w:basedOn w:val="754"/>
    <w:next w:val="754"/>
    <w:uiPriority w:val="39"/>
    <w:unhideWhenUsed/>
    <w:pPr>
      <w:ind w:left="1701"/>
      <w:spacing w:after="57"/>
    </w:pPr>
  </w:style>
  <w:style w:type="paragraph" w:styleId="935">
    <w:name w:val="toc 8"/>
    <w:basedOn w:val="754"/>
    <w:next w:val="754"/>
    <w:uiPriority w:val="39"/>
    <w:unhideWhenUsed/>
    <w:pPr>
      <w:ind w:left="1984"/>
      <w:spacing w:after="57"/>
    </w:pPr>
  </w:style>
  <w:style w:type="paragraph" w:styleId="936">
    <w:name w:val="toc 9"/>
    <w:basedOn w:val="754"/>
    <w:next w:val="754"/>
    <w:uiPriority w:val="39"/>
    <w:unhideWhenUsed/>
    <w:pPr>
      <w:ind w:left="2268"/>
      <w:spacing w:after="57"/>
    </w:pPr>
  </w:style>
  <w:style w:type="paragraph" w:styleId="937">
    <w:name w:val="TOC Heading"/>
    <w:uiPriority w:val="39"/>
    <w:unhideWhenUsed/>
  </w:style>
  <w:style w:type="paragraph" w:styleId="938">
    <w:name w:val="table of figures"/>
    <w:basedOn w:val="754"/>
    <w:next w:val="754"/>
    <w:uiPriority w:val="99"/>
    <w:unhideWhenUsed/>
  </w:style>
  <w:style w:type="table" w:styleId="939" w:customStyle="1">
    <w:name w:val="Table Normal"/>
    <w:qFormat/>
    <w:uiPriority w:val="2"/>
    <w:semiHidden/>
    <w:unhideWhenUsed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40">
    <w:name w:val="Body Text"/>
    <w:basedOn w:val="754"/>
    <w:qFormat/>
    <w:uiPriority w:val="1"/>
    <w:rPr>
      <w:sz w:val="28"/>
      <w:szCs w:val="28"/>
    </w:rPr>
    <w:pPr>
      <w:ind w:left="219"/>
    </w:pPr>
  </w:style>
  <w:style w:type="paragraph" w:styleId="941" w:customStyle="1">
    <w:name w:val="Heading 1"/>
    <w:basedOn w:val="754"/>
    <w:link w:val="764"/>
    <w:qFormat/>
    <w:uiPriority w:val="1"/>
    <w:rPr>
      <w:b/>
      <w:bCs/>
      <w:sz w:val="28"/>
      <w:szCs w:val="28"/>
    </w:rPr>
    <w:pPr>
      <w:ind w:left="657" w:hanging="361"/>
      <w:jc w:val="both"/>
      <w:outlineLvl w:val="1"/>
    </w:pPr>
  </w:style>
  <w:style w:type="paragraph" w:styleId="942">
    <w:name w:val="List Paragraph"/>
    <w:basedOn w:val="754"/>
    <w:qFormat/>
    <w:uiPriority w:val="1"/>
    <w:pPr>
      <w:ind w:left="219" w:firstLine="710"/>
      <w:jc w:val="both"/>
    </w:pPr>
  </w:style>
  <w:style w:type="paragraph" w:styleId="943" w:customStyle="1">
    <w:name w:val="Table Paragraph"/>
    <w:basedOn w:val="754"/>
    <w:qFormat/>
    <w:uiPriority w:val="1"/>
    <w:pPr>
      <w:jc w:val="center"/>
    </w:pPr>
  </w:style>
  <w:style w:type="paragraph" w:styleId="944">
    <w:name w:val="Balloon Text"/>
    <w:basedOn w:val="754"/>
    <w:link w:val="945"/>
    <w:uiPriority w:val="99"/>
    <w:semiHidden/>
    <w:unhideWhenUsed/>
    <w:rPr>
      <w:rFonts w:ascii="Tahoma" w:hAnsi="Tahoma" w:cs="Tahoma"/>
      <w:sz w:val="16"/>
      <w:szCs w:val="16"/>
    </w:rPr>
  </w:style>
  <w:style w:type="character" w:styleId="945" w:customStyle="1">
    <w:name w:val="Текст выноски Знак"/>
    <w:basedOn w:val="755"/>
    <w:link w:val="944"/>
    <w:uiPriority w:val="99"/>
    <w:semiHidden/>
    <w:rPr>
      <w:rFonts w:ascii="Tahoma" w:hAnsi="Tahoma" w:cs="Tahoma" w:eastAsia="Times New Roman"/>
      <w:sz w:val="16"/>
      <w:szCs w:val="16"/>
      <w:lang w:val="uk-UA"/>
    </w:rPr>
  </w:style>
  <w:style w:type="paragraph" w:styleId="946">
    <w:name w:val="No Spacing"/>
    <w:qFormat/>
    <w:uiPriority w:val="1"/>
    <w:rPr>
      <w:rFonts w:ascii="Times New Roman" w:hAnsi="Times New Roman" w:cs="Times New Roman" w:eastAsia="Times New Roman"/>
      <w:lang w:val="uk-UA"/>
    </w:rPr>
  </w:style>
  <w:style w:type="paragraph" w:styleId="947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8">
    <w:name w:val="Normal (Web)"/>
    <w:basedOn w:val="754"/>
    <w:rPr>
      <w:sz w:val="24"/>
      <w:szCs w:val="24"/>
      <w:lang w:val="ru-RU" w:eastAsia="ru-RU"/>
    </w:rPr>
    <w:pPr>
      <w:spacing w:after="100" w:afterAutospacing="1" w:before="100" w:beforeAutospacing="1"/>
      <w:widowControl/>
    </w:pPr>
  </w:style>
  <w:style w:type="paragraph" w:styleId="949" w:customStyle="1">
    <w:name w:val="Style3"/>
    <w:basedOn w:val="754"/>
    <w:rPr>
      <w:sz w:val="24"/>
      <w:szCs w:val="24"/>
      <w:lang w:eastAsia="zh-CN"/>
    </w:rPr>
    <w:pPr>
      <w:ind w:firstLine="706"/>
      <w:spacing w:lineRule="exact" w:line="346"/>
    </w:pPr>
  </w:style>
  <w:style w:type="character" w:styleId="950" w:customStyle="1">
    <w:name w:val="Font Style12"/>
    <w:rPr>
      <w:rFonts w:ascii="Times New Roman" w:hAnsi="Times New Roman" w:cs="Times New Roman" w:hint="default"/>
      <w:sz w:val="24"/>
      <w:szCs w:val="24"/>
    </w:rPr>
  </w:style>
  <w:style w:type="character" w:styleId="951" w:customStyle="1">
    <w:name w:val="fontstyle01"/>
    <w:basedOn w:val="755"/>
    <w:rPr>
      <w:rFonts w:ascii="timesnewromanpsmt" w:hAnsi="timesnewromanpsmt" w:hint="default"/>
      <w:b w:val="false"/>
      <w:bCs w:val="false"/>
      <w:i w:val="false"/>
      <w:iCs w:val="false"/>
      <w:color w:val="000000"/>
      <w:sz w:val="28"/>
      <w:szCs w:val="28"/>
    </w:rPr>
  </w:style>
  <w:style w:type="paragraph" w:styleId="952" w:customStyle="1">
    <w:name w:val="Заголовок 1 Знак"/>
    <w:link w:val="952"/>
    <w:rPr>
      <w:rFonts w:ascii="Times New Roman" w:hAnsi="Times New Roman" w:cs="Times New Roman" w:eastAsia="Times New Roman"/>
      <w:sz w:val="24"/>
      <w:szCs w:val="24"/>
      <w:lang w:val="ru-RU" w:eastAsia="ru-RU"/>
    </w:rPr>
    <w:pPr>
      <w:shd w:val="nil" w:color="auto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3" w:customStyle="1">
    <w:name w:val="Основной текст (2)_"/>
    <w:basedOn w:val="755"/>
    <w:link w:val="954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954" w:customStyle="1">
    <w:name w:val="Основной текст (2)"/>
    <w:basedOn w:val="754"/>
    <w:link w:val="953"/>
    <w:rPr>
      <w:sz w:val="28"/>
      <w:szCs w:val="28"/>
      <w:lang w:val="en-US"/>
    </w:rPr>
    <w:pPr>
      <w:jc w:val="both"/>
      <w:spacing w:lineRule="exact" w:line="312" w:before="60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55" w:customStyle="1">
    <w:name w:val="Заголовок №1_"/>
    <w:basedOn w:val="755"/>
    <w:link w:val="956"/>
    <w:rPr>
      <w:rFonts w:ascii="Times New Roman" w:hAnsi="Times New Roman" w:cs="Times New Roman" w:eastAsia="Times New Roman"/>
      <w:b/>
      <w:bCs/>
      <w:sz w:val="28"/>
      <w:szCs w:val="28"/>
      <w:shd w:val="clear" w:fill="FFFFFF" w:color="auto"/>
    </w:rPr>
  </w:style>
  <w:style w:type="paragraph" w:styleId="956" w:customStyle="1">
    <w:name w:val="Заголовок №1"/>
    <w:basedOn w:val="754"/>
    <w:link w:val="955"/>
    <w:rPr>
      <w:b/>
      <w:bCs/>
      <w:sz w:val="28"/>
      <w:szCs w:val="28"/>
      <w:lang w:val="en-US"/>
    </w:rPr>
    <w:pPr>
      <w:jc w:val="both"/>
      <w:spacing w:lineRule="atLeast" w:line="0" w:after="360" w:before="540"/>
      <w:shd w:val="clear" w:fill="FFFFFF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957" w:customStyle="1">
    <w:name w:val="Звичайний"/>
    <w:link w:val="957"/>
    <w:rPr>
      <w:rFonts w:ascii="Times New Roman" w:hAnsi="Times New Roman" w:cs="Times New Roman" w:eastAsia="Times New Roman"/>
      <w:sz w:val="20"/>
      <w:szCs w:val="20"/>
      <w:lang w:val="ru-RU" w:eastAsia="ru-RU"/>
    </w:rPr>
    <w:pPr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863C4F2-CE53-4C71-B432-61ACD09400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3CF6E-1170-4EC0-8111-6710011AA70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 Наталія Михайлівна</dc:creator>
  <cp:lastModifiedBy>Собокар Наталія Василівна</cp:lastModifiedBy>
  <cp:revision>14</cp:revision>
  <dcterms:created xsi:type="dcterms:W3CDTF">2021-11-11T10:40:00Z</dcterms:created>
  <dcterms:modified xsi:type="dcterms:W3CDTF">2021-12-14T06:19:18Z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