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02"/>
        <w:ind w:left="566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0"/>
          <w:lang w:val="uk-UA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Додаток </w:t>
      </w:r>
      <w:r/>
    </w:p>
    <w:p>
      <w:pPr>
        <w:pStyle w:val="1002"/>
        <w:ind w:left="566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рішення 15 сесії Менської міської ради 8 скликання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</w:r>
      <w:r/>
    </w:p>
    <w:p>
      <w:pPr>
        <w:pStyle w:val="1002"/>
        <w:ind w:left="566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0"/>
          <w:lang w:val="uk-UA"/>
        </w:rPr>
        <w:outlineLvl w:val="1"/>
      </w:pP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09 грудня 2021 року № 811</w:t>
      </w:r>
      <w:r/>
    </w:p>
    <w:p>
      <w:pPr>
        <w:pStyle w:val="1002"/>
        <w:ind w:right="5102"/>
        <w:jc w:val="both"/>
        <w:keepNext/>
        <w:spacing w:lineRule="auto" w:line="240" w:after="0"/>
        <w:tabs>
          <w:tab w:val="left" w:pos="4962" w:leader="none"/>
        </w:tabs>
        <w:rPr>
          <w:bCs/>
          <w:sz w:val="28"/>
          <w:szCs w:val="28"/>
          <w:lang w:val="uk-UA"/>
        </w:rPr>
        <w:outlineLvl w:val="1"/>
      </w:pPr>
      <w:r>
        <w:rPr>
          <w:bCs/>
          <w:sz w:val="28"/>
          <w:szCs w:val="28"/>
          <w:lang w:val="uk-UA"/>
        </w:rPr>
      </w:r>
      <w:r/>
    </w:p>
    <w:p>
      <w:pPr>
        <w:pStyle w:val="1002"/>
        <w:ind w:right="5102"/>
        <w:jc w:val="both"/>
        <w:keepNext/>
        <w:spacing w:lineRule="auto" w:line="240" w:after="0"/>
        <w:tabs>
          <w:tab w:val="left" w:pos="4962" w:leader="none"/>
        </w:tabs>
        <w:rPr>
          <w:bCs/>
          <w:sz w:val="28"/>
          <w:szCs w:val="28"/>
          <w:lang w:val="uk-UA"/>
        </w:rPr>
        <w:outlineLvl w:val="1"/>
      </w:pPr>
      <w:r>
        <w:rPr>
          <w:bCs/>
          <w:sz w:val="28"/>
          <w:szCs w:val="28"/>
          <w:lang w:val="uk-UA"/>
        </w:rPr>
      </w:r>
      <w:r/>
    </w:p>
    <w:p>
      <w:pPr>
        <w:pStyle w:val="1002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color w:val="000000"/>
          <w:sz w:val="32"/>
          <w:szCs w:val="32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/>
    </w:p>
    <w:p>
      <w:pPr>
        <w:pStyle w:val="1002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color w:val="000000"/>
          <w:sz w:val="32"/>
          <w:szCs w:val="32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/>
    </w:p>
    <w:p>
      <w:pPr>
        <w:pStyle w:val="1002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color w:val="000000"/>
          <w:sz w:val="32"/>
          <w:szCs w:val="32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/>
    </w:p>
    <w:p>
      <w:pPr>
        <w:pStyle w:val="1002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 ПРОГРАМА</w:t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ФІНАНСОВОЇ </w:t>
      </w:r>
      <w:r>
        <w:rPr>
          <w:rFonts w:ascii="Times New Roman" w:hAnsi="Times New Roman"/>
          <w:b/>
          <w:iCs/>
          <w:sz w:val="32"/>
          <w:szCs w:val="32"/>
        </w:rPr>
        <w:t xml:space="preserve">ПІДТРИМКИ ГРОМАДСЬКИХ </w:t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ОБ’ЄДНАНЬ</w:t>
      </w:r>
      <w:r>
        <w:rPr>
          <w:rFonts w:ascii="Times New Roman" w:hAnsi="Times New Roman"/>
          <w:b/>
          <w:iCs/>
          <w:sz w:val="32"/>
          <w:szCs w:val="32"/>
        </w:rPr>
        <w:t xml:space="preserve"> ВЕТЕРАНІВ</w:t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МЕНСЬКОЇ МІСЬКОЇ ТЕРИТОРІАЛЬНОЇ ГРОМАДИ</w:t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НА 202</w:t>
      </w: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2</w:t>
      </w: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- 2024 РІК</w:t>
      </w:r>
      <w:r/>
    </w:p>
    <w:p>
      <w:pPr>
        <w:ind w:left="65"/>
        <w:jc w:val="center"/>
        <w:rPr>
          <w:lang w:val="uk-UA"/>
        </w:rPr>
      </w:pPr>
      <w:r>
        <w:rPr>
          <w:lang w:val="uk-UA"/>
        </w:rPr>
      </w:r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720" w:right="71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 Мена</w:t>
      </w:r>
      <w:r/>
    </w:p>
    <w:p>
      <w:pPr>
        <w:ind w:left="720" w:right="7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</w:t>
      </w:r>
      <w:r>
        <w:rPr>
          <w:rFonts w:ascii="Times New Roman" w:hAnsi="Times New Roman"/>
          <w:lang w:val="uk-UA"/>
        </w:rPr>
        <w:t xml:space="preserve">1</w:t>
      </w:r>
      <w:r>
        <w:rPr>
          <w:rFonts w:ascii="Times New Roman" w:hAnsi="Times New Roman"/>
        </w:rPr>
        <w:t xml:space="preserve"> рік</w:t>
      </w:r>
      <w:r/>
    </w:p>
    <w:p>
      <w:r>
        <w:br w:type="page"/>
      </w:r>
      <w:r/>
    </w:p>
    <w:p>
      <w:pPr>
        <w:numPr>
          <w:ilvl w:val="0"/>
          <w:numId w:val="26"/>
        </w:numPr>
        <w:ind w:left="0" w:right="496"/>
        <w:jc w:val="center"/>
        <w:spacing w:after="113" w:before="113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ПАСПОРТ ПРОГРАМИ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ФІНАНСОВОЇ </w:t>
      </w:r>
      <w:r>
        <w:rPr>
          <w:rFonts w:ascii="Times New Roman" w:hAnsi="Times New Roman"/>
          <w:b/>
          <w:sz w:val="28"/>
          <w:szCs w:val="28"/>
        </w:rPr>
        <w:t xml:space="preserve">ПІДТРИМКИ ГРОМАДСЬКИХ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ОБ’ЄДНАНЬ </w:t>
      </w:r>
      <w:r>
        <w:rPr>
          <w:rFonts w:ascii="Times New Roman" w:hAnsi="Times New Roman"/>
          <w:b/>
          <w:sz w:val="28"/>
          <w:szCs w:val="28"/>
        </w:rPr>
        <w:t xml:space="preserve">ВЕТЕРАНІВ НА 2022-2024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  <w:r/>
    </w:p>
    <w:tbl>
      <w:tblPr>
        <w:tblStyle w:val="1033"/>
        <w:tblW w:w="9675" w:type="dxa"/>
        <w:tblInd w:w="-31" w:type="dxa"/>
        <w:tblLayout w:type="fixed"/>
        <w:tblCellMar>
          <w:left w:w="110" w:type="dxa"/>
          <w:top w:w="11" w:type="dxa"/>
          <w:right w:w="41" w:type="dxa"/>
        </w:tblCellMar>
        <w:tblLook w:val="04A0" w:firstRow="1" w:lastRow="0" w:firstColumn="1" w:lastColumn="0" w:noHBand="0" w:noVBand="1"/>
      </w:tblPr>
      <w:tblGrid>
        <w:gridCol w:w="626"/>
        <w:gridCol w:w="3307"/>
        <w:gridCol w:w="5742"/>
      </w:tblGrid>
      <w:tr>
        <w:trPr>
          <w:trHeight w:val="6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Ініціатор розроблення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Менська міська рада</w:t>
            </w:r>
            <w:r/>
          </w:p>
        </w:tc>
      </w:tr>
      <w:tr>
        <w:trPr>
          <w:trHeight w:val="36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Дата, номер і назва документу, на підставі яких розроблена Програма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2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Закони України «Про статус ветеранів війни,  гарантії їх соціального захисту», «Про соціальний захист дітей війни», «Про жертви нацистських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ереслідувань», «Про соціальний захист громадян, постраждалих внаслідок Чорнобильської катастрофи», «Про правовий статус та вшанування пам’яті борців за незалежність України у ХХ столітті», Указ Президента України «Про основні засади соціального захисту 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теранів праці та інших громадян похилого віку в Україні» від 16.12.1993 № 3721-ХІІ, розпорядження Кабінету Міністрів України «Про заходи з увічнення пам’яті захисників України на період до 2025 року» від 20.01.2021 № 37-р, Бюджетний кодекс України та інші</w:t>
            </w:r>
            <w:r/>
          </w:p>
        </w:tc>
      </w:tr>
      <w:tr>
        <w:trPr>
          <w:trHeight w:val="3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3.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Розробник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соціального захисту населення, сім’ї, молоді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охорони здоров’я Менської міської ради</w:t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4.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Співрозробники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shd w:val="clear" w:color="FFFFFF" w:fill="FFFFFF"/>
                <w:lang w:val="uk-UA" w:bidi="ar-S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shd w:val="clear" w:color="FFFFFF" w:fill="FFFFFF"/>
                <w:lang w:val="uk-UA" w:bidi="ar-SA" w:eastAsia="ru-RU"/>
              </w:rPr>
              <w:t xml:space="preserve">Фінансове управління, Відділ  бухгалтерського обліку та звітності Менської міської ради, громадські об’єднання ветеранів </w:t>
            </w:r>
            <w:r/>
          </w:p>
        </w:tc>
      </w:tr>
      <w:tr>
        <w:trPr>
          <w:trHeight w:val="5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5.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Відповідальний виконавець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Менська міська рада</w:t>
            </w:r>
            <w:r/>
          </w:p>
        </w:tc>
      </w:tr>
      <w:tr>
        <w:trPr>
          <w:trHeight w:val="4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6.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Учасники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Менська міська рада, </w:t>
            </w:r>
            <w:r/>
          </w:p>
          <w:p>
            <w:pPr>
              <w:ind w:right="4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громадські об’єднання ветеранів </w:t>
            </w:r>
            <w:r/>
          </w:p>
        </w:tc>
      </w:tr>
      <w:tr>
        <w:trPr>
          <w:trHeight w:val="32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7.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Термін реалізації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2 - 2024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рр.</w:t>
            </w:r>
            <w:r/>
          </w:p>
        </w:tc>
      </w:tr>
      <w:tr>
        <w:trPr>
          <w:trHeight w:val="1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8.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Загальний орієнтований обсяг ресурсів, необхідних для реалізації Програми, всього 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419 480,00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грн.</w:t>
            </w:r>
            <w:r>
              <w:rPr>
                <w:color w:val="000000" w:themeColor="text1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  <w:t xml:space="preserve">2022 р. - 120 000,00 грн.</w:t>
            </w:r>
            <w:r>
              <w:rPr>
                <w:color w:val="000000" w:themeColor="text1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  <w:t xml:space="preserve">2023 р. - 143 500,00 грн.</w:t>
            </w:r>
            <w:r>
              <w:rPr>
                <w:color w:val="000000" w:themeColor="text1"/>
              </w:rPr>
            </w:r>
            <w:r/>
          </w:p>
          <w:p>
            <w:pPr>
              <w:ind w:right="419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  <w:t xml:space="preserve">2024 р. - 155 980,00 грн.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left="65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numPr>
          <w:ilvl w:val="0"/>
          <w:numId w:val="26"/>
        </w:numPr>
        <w:ind w:left="0" w:right="496"/>
        <w:jc w:val="center"/>
        <w:spacing w:after="113" w:before="113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ВИЗНАЧЕННЯ ПРОБЛЕМ, НА РОЗВ’ЯЗАННЯ ЯКИХ СПРЯМОВАНА ПРОГРАМА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спрямована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фінансову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підтримку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організацій, що діють на території Менської міської територіальної громади, які об’єднують ветеранів Другої світової війни, </w:t>
      </w:r>
      <w:r>
        <w:rPr>
          <w:rFonts w:ascii="Times New Roman" w:hAnsi="Times New Roman"/>
          <w:sz w:val="28"/>
          <w:szCs w:val="28"/>
        </w:rPr>
        <w:t xml:space="preserve">ветеранів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війни</w:t>
      </w:r>
      <w:r>
        <w:rPr>
          <w:rFonts w:ascii="Times New Roman" w:hAnsi="Times New Roman"/>
          <w:sz w:val="28"/>
          <w:szCs w:val="28"/>
          <w:lang w:val="uk-UA"/>
        </w:rPr>
        <w:t xml:space="preserve">, інвалідів, громадян похилого віку, учасників бойових дій на території інших держав, </w:t>
      </w:r>
      <w:r>
        <w:rPr>
          <w:rFonts w:ascii="Times New Roman" w:hAnsi="Times New Roman"/>
          <w:sz w:val="28"/>
          <w:szCs w:val="28"/>
        </w:rPr>
        <w:t xml:space="preserve">ліквідаторів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аварії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Чорнобильській</w:t>
      </w:r>
      <w:r>
        <w:rPr>
          <w:rFonts w:ascii="Times New Roman" w:hAnsi="Times New Roman"/>
          <w:sz w:val="28"/>
          <w:szCs w:val="28"/>
        </w:rPr>
        <w:t xml:space="preserve"> АЕС, </w:t>
      </w:r>
      <w:r>
        <w:rPr>
          <w:rFonts w:ascii="Times New Roman" w:hAnsi="Times New Roman"/>
          <w:sz w:val="28"/>
          <w:szCs w:val="28"/>
        </w:rPr>
        <w:t xml:space="preserve">в’язнів</w:t>
      </w:r>
      <w:r>
        <w:rPr>
          <w:rFonts w:ascii="Times New Roman" w:hAnsi="Times New Roman"/>
          <w:sz w:val="28"/>
          <w:szCs w:val="28"/>
        </w:rPr>
        <w:t xml:space="preserve">-жертв нацизму</w:t>
      </w:r>
      <w:r>
        <w:rPr>
          <w:rFonts w:ascii="Times New Roman" w:hAnsi="Times New Roman"/>
          <w:sz w:val="28"/>
          <w:szCs w:val="28"/>
          <w:lang w:val="uk-UA"/>
        </w:rPr>
        <w:t xml:space="preserve">, учасників бойових дій в АТО/ООС, ветеранів військової служби та служби в інших силових структурах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цієї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обумовлена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зростанням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потребою </w:t>
      </w:r>
      <w:r>
        <w:rPr>
          <w:rFonts w:ascii="Times New Roman" w:hAnsi="Times New Roman"/>
          <w:sz w:val="28"/>
          <w:szCs w:val="28"/>
        </w:rPr>
        <w:t xml:space="preserve">вдосконалення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їх підтримки,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механізму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ролі</w:t>
      </w:r>
      <w:r>
        <w:rPr>
          <w:rFonts w:ascii="Times New Roman" w:hAnsi="Times New Roman"/>
          <w:sz w:val="28"/>
          <w:szCs w:val="28"/>
        </w:rPr>
        <w:t xml:space="preserve"> та авторитету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громадському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громади</w:t>
      </w:r>
      <w:r>
        <w:rPr>
          <w:rFonts w:ascii="Times New Roman" w:hAnsi="Times New Roman"/>
          <w:sz w:val="28"/>
          <w:szCs w:val="28"/>
        </w:rPr>
        <w:t xml:space="preserve">.  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розрахована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розв’язання</w:t>
      </w:r>
      <w:r>
        <w:rPr>
          <w:rFonts w:ascii="Times New Roman" w:hAnsi="Times New Roman"/>
          <w:sz w:val="28"/>
          <w:szCs w:val="28"/>
        </w:rPr>
        <w:t xml:space="preserve"> проблем в </w:t>
      </w:r>
      <w:r>
        <w:rPr>
          <w:rFonts w:ascii="Times New Roman" w:hAnsi="Times New Roman"/>
          <w:sz w:val="28"/>
          <w:szCs w:val="28"/>
        </w:rPr>
        <w:t xml:space="preserve">напрямку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всебічного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законних</w:t>
      </w:r>
      <w:r>
        <w:rPr>
          <w:rFonts w:ascii="Times New Roman" w:hAnsi="Times New Roman"/>
          <w:sz w:val="28"/>
          <w:szCs w:val="28"/>
        </w:rPr>
        <w:t xml:space="preserve"> прав,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економічних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категорій громадян, на проведення заходів з відзначення святко</w:t>
      </w:r>
      <w:r>
        <w:rPr>
          <w:rFonts w:ascii="Times New Roman" w:hAnsi="Times New Roman"/>
          <w:sz w:val="28"/>
          <w:szCs w:val="28"/>
          <w:lang w:val="uk-UA"/>
        </w:rPr>
        <w:t xml:space="preserve">вих, пам’ятних та історичних дат, з відвідування військових поховань і військових пам’ятників, вшанування ветеранів війни, жертв нацистських переслідувань та політичних репресій, захистом незалежності, суверенітету та територіальної цілісності України тощо</w:t>
      </w:r>
      <w:r>
        <w:rPr>
          <w:rFonts w:ascii="Times New Roman" w:hAnsi="Times New Roman"/>
          <w:sz w:val="28"/>
          <w:szCs w:val="28"/>
        </w:rPr>
        <w:t xml:space="preserve">.  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numPr>
          <w:ilvl w:val="0"/>
          <w:numId w:val="26"/>
        </w:numPr>
        <w:ind w:left="0" w:right="496"/>
        <w:jc w:val="center"/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ЗАВДАННЯ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szCs w:val="28"/>
        </w:rPr>
        <w:t xml:space="preserve">ПРОГРАМИ</w:t>
      </w:r>
      <w:r/>
    </w:p>
    <w:p>
      <w:pPr>
        <w:ind w:left="-15" w:right="0" w:firstLine="582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</w:t>
      </w:r>
      <w:r>
        <w:rPr>
          <w:rFonts w:ascii="Times New Roman" w:hAnsi="Times New Roman"/>
          <w:sz w:val="28"/>
          <w:szCs w:val="28"/>
          <w:lang w:val="uk-UA"/>
        </w:rPr>
        <w:t xml:space="preserve">ою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вирішення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найважливіших</w:t>
      </w:r>
      <w:r>
        <w:rPr>
          <w:rFonts w:ascii="Times New Roman" w:hAnsi="Times New Roman"/>
          <w:sz w:val="28"/>
          <w:szCs w:val="28"/>
        </w:rPr>
        <w:t xml:space="preserve"> проблем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об’єднань ветеранів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захист</w:t>
      </w:r>
      <w:r>
        <w:rPr>
          <w:rFonts w:ascii="Times New Roman" w:hAnsi="Times New Roman"/>
          <w:sz w:val="28"/>
          <w:szCs w:val="28"/>
        </w:rPr>
        <w:t xml:space="preserve"> прав і свобод, </w:t>
      </w:r>
      <w:r>
        <w:rPr>
          <w:rFonts w:ascii="Times New Roman" w:hAnsi="Times New Roman"/>
          <w:sz w:val="28"/>
          <w:szCs w:val="28"/>
        </w:rPr>
        <w:t xml:space="preserve">задоволення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економічних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членів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на вирішення питання популяризації їх діяльності, активізацію громадського життя, проведення заходів, спрямованих на патріотичне виховання, історичний та духовний розвиток жителів громади.</w:t>
      </w:r>
      <w:r/>
    </w:p>
    <w:p>
      <w:pPr>
        <w:ind w:left="-15" w:right="0" w:firstLine="582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зазначеної</w:t>
      </w:r>
      <w:r>
        <w:rPr>
          <w:rFonts w:ascii="Times New Roman" w:hAnsi="Times New Roman"/>
          <w:sz w:val="28"/>
          <w:szCs w:val="28"/>
        </w:rPr>
        <w:t xml:space="preserve"> мети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шляхом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-15" w:right="0" w:firstLine="582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Кошти, передбачені на реалізацію Програми, спрямовуються громадським об’єднанням ветеранів та можуть використовуватись на наступні заходи:</w:t>
      </w:r>
      <w:r/>
    </w:p>
    <w:p>
      <w:pPr>
        <w:ind w:left="-15" w:right="0" w:firstLine="582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відзначення святкових, пам’ятних та історичних дат, пов’язаних з вшануванням та увічненням пам’яті ветеранів війни, жертв нацистськ</w:t>
      </w:r>
      <w:r>
        <w:rPr>
          <w:rFonts w:ascii="Times New Roman" w:hAnsi="Times New Roman"/>
          <w:sz w:val="28"/>
          <w:szCs w:val="28"/>
          <w:lang w:val="uk-UA"/>
        </w:rPr>
        <w:t xml:space="preserve">их переслідувань та політичних репресій, захистом незалежності, суверенітету та територіальної цілісності України, формуванням соборності та державності, проголошенням незалежності України, а також відвідування військових поховань і військових пам’ятників;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2)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проведення конференцій, пленумів, тренінгів, курсів, навчальних семінарів, засідань «круглого столу», спеціалізованих фестивалів, виставок, концертів, вечорів відпочинку, конкурсів та оглядів за участю творчих колективів громадських організацій ветеранів;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проведення спортивних заходів (змагань, чемпіонатів тощо), а також реабілітаційних заходів (запрошення </w:t>
      </w:r>
      <w:r>
        <w:rPr>
          <w:rFonts w:ascii="Times New Roman" w:hAnsi="Times New Roman"/>
          <w:sz w:val="28"/>
          <w:szCs w:val="28"/>
          <w:lang w:val="uk-UA"/>
        </w:rPr>
        <w:t xml:space="preserve">реабілітологів</w:t>
      </w:r>
      <w:r>
        <w:rPr>
          <w:rFonts w:ascii="Times New Roman" w:hAnsi="Times New Roman"/>
          <w:sz w:val="28"/>
          <w:szCs w:val="28"/>
          <w:lang w:val="uk-UA"/>
        </w:rPr>
        <w:t xml:space="preserve">, психологів до зустрічі з відповідними категоріями громадян в рамках Програми, оплата їх послуг);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проведення інформаційно-просвітницьких заходів;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проведення заходів з військово-патріотичного виховання, організація зустрічей з ветеранами, відвідування місць поховань, музеїв, місць бойової слави тощо;</w:t>
      </w:r>
      <w:r/>
    </w:p>
    <w:p>
      <w:pPr>
        <w:ind w:left="-15" w:right="0" w:firstLine="582"/>
        <w:jc w:val="both"/>
        <w:tabs>
          <w:tab w:val="left" w:pos="1134" w:leader="none"/>
        </w:tabs>
        <w:rPr>
          <w:color w:val="000000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розроблення та виготовлення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, передплата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періодичних (</w:t>
      </w:r>
      <w:r>
        <w:rPr>
          <w:rFonts w:ascii="Times New Roman" w:hAnsi="Times New Roman"/>
          <w:sz w:val="28"/>
          <w:szCs w:val="28"/>
          <w:lang w:val="uk-UA"/>
        </w:rPr>
        <w:t xml:space="preserve">у тому числі для членів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ромадських об’єднань ветеранів</w:t>
      </w:r>
      <w:r>
        <w:rPr>
          <w:rFonts w:ascii="Times New Roman" w:hAnsi="Times New Roman"/>
          <w:sz w:val="28"/>
          <w:szCs w:val="28"/>
          <w:lang w:val="uk-UA"/>
        </w:rPr>
        <w:t xml:space="preserve">), довідкових, інформаційних, аналітичних та методичних видань з питань соціального захисту, реабілітації, соціалізації, адаптації, працевлаштування (без права їх подальшого використання в комерційних цілях)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  <w:t xml:space="preserve">7) сприяння увічненню Перемоги у Другій світовій війні, збереження пам’ятників і меморі</w:t>
      </w: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  <w:t xml:space="preserve">алів захисникам Вітчизни, видатним людям праці, науки, культури; участі у героїко-патріотичному вихованні молоді на кращих традиціях старших поколінь з метою прищеплення поваги до культурного і духовного надбання батьків, збереження спадкоємності поколінь;</w:t>
      </w: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  <w:t xml:space="preserve">8) підтримання розвитку художньої самодіяльності, фізичної культури серед ветеранів, інвалідів;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  <w:t xml:space="preserve">9) придбання квіткової продукції (вінків, квітів), сувенірної продукції, призів, книжок тощо;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адміністративні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витрати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організаційне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матеріально-технічне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об’єднань ветеранів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 (проєктів,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в рамках їх статутних завдань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саме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оплата праці (матеріальне заохочення) представників громадських об’єднань ветеранів (в обсягах, що не перевищує  розміру мінімальної заробітної плати на місяць);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оренда нежитлових приміщень у разі відсутності власних приміщень громадських об’єднань, або надання їм безоплатно таких приміщень у встановленому порядку;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оплата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у межах середніх норм споживання щодо приміщень (</w:t>
      </w:r>
      <w:hyperlink w:tooltip="Current Document" w:anchor="n502" w:history="1">
        <w:r>
          <w:rPr>
            <w:rStyle w:val="988"/>
            <w:rFonts w:ascii="Times New Roman" w:hAnsi="Times New Roman" w:eastAsia="Arial"/>
            <w:color w:val="auto"/>
            <w:sz w:val="28"/>
            <w:szCs w:val="28"/>
            <w:u w:val="none"/>
            <w:lang w:val="uk-UA"/>
          </w:rPr>
          <w:t xml:space="preserve">статті 20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статус ветеранів війни, гарантії їх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»), в яких громадське об’єднання провадить свою статутну діяльність;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придбання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канцелярських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послуги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зв’язку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оргтехніки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оплата транспортних послуг;</w:t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sz w:val="24"/>
          <w:szCs w:val="24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- оплата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відряджень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членам громадських об’єднань ветеранів, пов’язаних зі статутною діяльністю громадських об’єднань ветеранів (участь у пленумах, зборах, семінарах та інших заходах, які проводяться за межами Менської міської територіальної громади);</w:t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sz w:val="24"/>
          <w:szCs w:val="24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- оплата банківських послуг;</w:t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sz w:val="24"/>
          <w:szCs w:val="24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- придбання конвертів, марок, листівок;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- інші адміністративні витрати, безпосередньо пов’язані з діяльністю громадських об’єднань ветеранів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заходи, </w:t>
      </w:r>
      <w:r>
        <w:rPr>
          <w:rFonts w:ascii="Times New Roman" w:hAnsi="Times New Roman"/>
          <w:sz w:val="28"/>
          <w:szCs w:val="28"/>
        </w:rPr>
        <w:t xml:space="preserve">передбачені</w:t>
      </w:r>
      <w:r>
        <w:rPr>
          <w:rFonts w:ascii="Times New Roman" w:hAnsi="Times New Roman"/>
          <w:sz w:val="28"/>
          <w:szCs w:val="28"/>
        </w:rPr>
        <w:t xml:space="preserve"> статут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ветеранської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меті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прибутку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1012"/>
        <w:ind w:left="-15" w:right="0" w:firstLine="582"/>
        <w:jc w:val="both"/>
        <w:spacing w:after="225" w:afterAutospacing="0" w:before="225" w:beforeAutospacing="0"/>
        <w:shd w:val="clear" w:color="FFFFFF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бюджетних коштів на інші цілі забороняється.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numPr>
          <w:ilvl w:val="0"/>
          <w:numId w:val="26"/>
        </w:numPr>
        <w:ind w:left="0" w:right="496"/>
        <w:jc w:val="center"/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ФІНАНСОВЕ ЗАБЕЗПЕЧЕННЯ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  <w:r/>
    </w:p>
    <w:p>
      <w:pPr>
        <w:ind w:left="-15" w:right="0" w:firstLine="582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в межах </w:t>
      </w:r>
      <w:r>
        <w:rPr>
          <w:rFonts w:ascii="Times New Roman" w:hAnsi="Times New Roman"/>
          <w:sz w:val="28"/>
          <w:szCs w:val="28"/>
        </w:rPr>
        <w:t xml:space="preserve">асигнувань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бюджеті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2-2024</w:t>
      </w:r>
      <w:r>
        <w:rPr>
          <w:rFonts w:ascii="Times New Roman" w:hAnsi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джерел</w:t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заборонених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. При цьому обсяг коштів визначається міською радою під час формування бюджету з урахуванням його фінансових можливостей та може змінюватись в процесі виконання бюджету при внесенні змін до нього.   </w:t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Витрачання коштів громадськими організаціями здійснюється на реалізацію заходів, передбачених розділом 3 даної Програми відповідно до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Порядку використання коштів, передбачених в бюджеті Менської міської територіальної громади для надання фінансової підтримки громадським об’єднанням ветеранів.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ab/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ab/>
        <w:t xml:space="preserve">Фінансова підтримка громадських об’єднань ветеранів надається громадським організаціям, діяльність яких поширюється на територію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Менської міської територіальної громади з врахуванням особливостей розвитку в громаді ветеранського руху, активності і ефективності діяльності громадських організацій ветеранського спрямування, а також кількості учасників (членів) громадської організації. </w:t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Обсяги фінансування Програми на 2022-2024 рік на конкретні заходи підтримки громадських об’єднань ветеранів визначені у Додатку до даної Програми. </w:t>
      </w:r>
      <w:r/>
    </w:p>
    <w:p>
      <w:pPr>
        <w:ind w:left="-15"/>
        <w:jc w:val="both"/>
        <w:tabs>
          <w:tab w:val="center" w:pos="448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/>
    </w:p>
    <w:p>
      <w:pPr>
        <w:numPr>
          <w:ilvl w:val="0"/>
          <w:numId w:val="26"/>
        </w:numPr>
        <w:ind w:left="0" w:right="496"/>
        <w:jc w:val="center"/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ОЧІКУВАНІ </w:t>
      </w:r>
      <w:r>
        <w:rPr>
          <w:rFonts w:ascii="Times New Roman" w:hAnsi="Times New Roman"/>
          <w:b/>
          <w:sz w:val="28"/>
          <w:szCs w:val="28"/>
        </w:rPr>
        <w:t xml:space="preserve">РЕЗУЛЬТАТИ ВИКОНАННЯ</w:t>
      </w:r>
      <w:r>
        <w:rPr>
          <w:rFonts w:ascii="Times New Roman" w:hAnsi="Times New Roman"/>
          <w:b/>
          <w:sz w:val="28"/>
          <w:szCs w:val="28"/>
        </w:rPr>
        <w:t xml:space="preserve"> ПРОГРАМИ </w:t>
      </w:r>
      <w:r/>
    </w:p>
    <w:p>
      <w:pPr>
        <w:numPr>
          <w:ilvl w:val="0"/>
          <w:numId w:val="28"/>
        </w:numPr>
        <w:ind w:left="0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фінансової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об’єднань ветеранів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numPr>
          <w:ilvl w:val="0"/>
          <w:numId w:val="28"/>
        </w:numPr>
        <w:ind w:left="0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</w:t>
      </w:r>
      <w:r>
        <w:rPr>
          <w:rFonts w:ascii="Times New Roman" w:hAnsi="Times New Roman"/>
          <w:sz w:val="28"/>
          <w:szCs w:val="28"/>
        </w:rPr>
        <w:t xml:space="preserve">всебічного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законних</w:t>
      </w:r>
      <w:r>
        <w:rPr>
          <w:rFonts w:ascii="Times New Roman" w:hAnsi="Times New Roman"/>
          <w:sz w:val="28"/>
          <w:szCs w:val="28"/>
        </w:rPr>
        <w:t xml:space="preserve"> прав,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економічних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категорій громадян;</w:t>
      </w:r>
      <w:r/>
    </w:p>
    <w:p>
      <w:pPr>
        <w:numPr>
          <w:ilvl w:val="0"/>
          <w:numId w:val="28"/>
        </w:numPr>
        <w:ind w:left="0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взаємодії між громадськими об’єднаннями ветеранів та Менською міською радою з метою вирішення спільних завдань та реалізації спільних заходів;</w:t>
      </w:r>
      <w:r/>
    </w:p>
    <w:p>
      <w:pPr>
        <w:numPr>
          <w:ilvl w:val="0"/>
          <w:numId w:val="28"/>
        </w:numPr>
        <w:ind w:left="0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активізація діяльності громадських організацій у громаді, зростання ролі громадськості у життєдіяльності територіальної громади.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населення, сім’ї, молоді та охорони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здоров’я Менської міської ради                                                    Марина МОСКАЛЬЧУК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br w:type="page"/>
      </w:r>
      <w:r/>
    </w:p>
    <w:p>
      <w:pPr>
        <w:pStyle w:val="1002"/>
        <w:ind w:left="5669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iCs/>
          <w:sz w:val="28"/>
          <w:szCs w:val="20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Додаток </w:t>
      </w:r>
      <w:r>
        <w:rPr>
          <w:sz w:val="28"/>
        </w:rPr>
      </w:r>
      <w:r/>
    </w:p>
    <w:p>
      <w:pPr>
        <w:pStyle w:val="1002"/>
        <w:ind w:left="5669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color w:val="000000"/>
          <w:sz w:val="28"/>
          <w:szCs w:val="20"/>
          <w:highlight w:val="none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 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Програми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фінансової підтримки громадських об’єднань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ветеранів Менської міської територіальної громади на 202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2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 -2024 рік</w:t>
      </w:r>
      <w:r>
        <w:rPr>
          <w:sz w:val="28"/>
        </w:rPr>
      </w:r>
      <w:r/>
    </w:p>
    <w:p>
      <w:pPr>
        <w:pStyle w:val="1002"/>
        <w:ind w:left="5669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color w:val="000000"/>
          <w:sz w:val="28"/>
          <w:szCs w:val="20"/>
        </w:rPr>
        <w:outlineLvl w:val="1"/>
      </w:pP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highlight w:val="none"/>
          <w:lang w:val="uk-UA" w:eastAsia="ru-RU"/>
        </w:rPr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highlight w:val="none"/>
          <w:lang w:val="uk-UA" w:eastAsia="ru-RU"/>
        </w:rPr>
      </w:r>
      <w:r/>
    </w:p>
    <w:p>
      <w:pPr>
        <w:ind w:left="62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ОБСЯГИ ТА НАПРМКИ ФІНАНСУВАННЯ </w:t>
      </w:r>
      <w:r/>
    </w:p>
    <w:p>
      <w:pPr>
        <w:ind w:left="62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ПРОГРАМИ ФІНАНСОВОЇ ПІДТРИМКИ ГРОМАДСЬКИХ </w:t>
      </w:r>
      <w:r/>
    </w:p>
    <w:p>
      <w:pPr>
        <w:ind w:left="62"/>
        <w:jc w:val="center"/>
        <w:rPr>
          <w:rFonts w:ascii="Times New Roman" w:hAnsi="Times New Roman"/>
          <w:b/>
          <w:iCs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ОБ’ЄДНАНЬ ВЕТЕРАНІВ МЕНСЬКОЇ МІСЬКОЇ ТЕРИТОРІАЛЬНОЇ  ГРОМАДИ НА 202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-2024 РІК</w:t>
      </w:r>
      <w:r/>
    </w:p>
    <w:p>
      <w:pPr>
        <w:ind w:left="6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b/>
          <w:iCs/>
          <w:sz w:val="28"/>
          <w:szCs w:val="28"/>
          <w:highlight w:val="none"/>
          <w:lang w:val="uk-UA"/>
        </w:rPr>
      </w:r>
      <w:r/>
    </w:p>
    <w:tbl>
      <w:tblPr>
        <w:tblStyle w:val="862"/>
        <w:tblW w:w="0" w:type="auto"/>
        <w:tblInd w:w="62" w:type="dxa"/>
        <w:tblLayout w:type="fixed"/>
        <w:tblLook w:val="04A0" w:firstRow="1" w:lastRow="0" w:firstColumn="1" w:lastColumn="0" w:noHBand="0" w:noVBand="1"/>
      </w:tblPr>
      <w:tblGrid>
        <w:gridCol w:w="587"/>
        <w:gridCol w:w="2011"/>
        <w:gridCol w:w="1842"/>
        <w:gridCol w:w="2940"/>
        <w:gridCol w:w="2412"/>
      </w:tblGrid>
      <w:tr>
        <w:trPr/>
        <w:tc>
          <w:tcPr>
            <w:tcW w:w="5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№ з/п</w:t>
            </w:r>
            <w:r/>
          </w:p>
        </w:tc>
        <w:tc>
          <w:tcPr>
            <w:tcW w:w="20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Напрямки фінансування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Обсяги фінансування,</w:t>
            </w:r>
            <w:r/>
          </w:p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грн</w:t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Громадська організація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Примітка</w:t>
            </w:r>
            <w:r/>
          </w:p>
        </w:tc>
      </w:tr>
      <w:tr>
        <w:trPr/>
        <w:tc>
          <w:tcPr>
            <w:tcW w:w="58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0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1)Видатки на оплату праці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non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2)Нарахування ЄСВ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non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2022 р. - 78600,00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2023 р. - 86500,00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2024 р. - 91980,00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non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2022 р. - 19400,00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2023 р. - 24500,00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2024 р. - 26500,00 грн.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Організація ветеранів України Менської міської ТГ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Із розрахунку 0,75 ставки від мінімальної заробітної плати керівнику ветеранської організації; 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0,25 ставки від мінімальної заробітної плати бухгалтеру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8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Оплата комунальних послуг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2022 р. - 2500,00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2023 р. - 2500,00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2024 р. - 2500,00 грн.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Організація ветеранів України Менської міської ТГ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8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201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Проведення заходів згідно з напрямками визначених програмою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2022 р. - 9500,00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2023 р. - 15000,00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2024 р. - 20000,00 грн.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Організація ветеранів України Менської міської ТГ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З врахуванням заходів, що проводяться Менською районною спілкою ветеранів  Чорнобиля, первинною організацією Асоціації ветеранів МВС 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8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201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2022 р. - 5000,00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2023 р. - 10000,00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2024 р. - 10000,00 грн.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Менська територіальна організація воїнів-афганців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8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201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2022 р. - 5000,00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2023 р. - 5000,00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2024 р. - 5000,00 грн.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Менська районна організація учасників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Антитерористичної операції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pStyle w:val="1002"/>
        <w:ind w:left="5669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0"/>
        </w:rPr>
        <w:outlineLvl w:val="1"/>
      </w:pPr>
      <w:r>
        <w:rPr>
          <w:rFonts w:ascii="Times New Roman" w:hAnsi="Times New Roman" w:eastAsia="Times New Roman"/>
          <w:sz w:val="28"/>
          <w:szCs w:val="20"/>
        </w:rPr>
      </w:r>
      <w:r>
        <w:rPr>
          <w:rFonts w:ascii="Times New Roman" w:hAnsi="Times New Roman" w:eastAsia="Times New Roman"/>
          <w:sz w:val="28"/>
          <w:szCs w:val="20"/>
        </w:rPr>
      </w:r>
      <w:r/>
    </w:p>
    <w:p>
      <w:pPr>
        <w:pStyle w:val="1002"/>
        <w:ind w:left="5669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0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населення, сім’ї, молоді та охорони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здоров’я Менської міської ради                                                    Марина МОСКАЛЬЧУК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002"/>
        <w:ind w:left="5669" w:right="142" w:firstLine="0"/>
        <w:jc w:val="both"/>
        <w:keepNext/>
        <w:spacing w:lineRule="auto" w:line="240" w:after="0"/>
        <w:rPr>
          <w:rFonts w:ascii="Times New Roman" w:hAnsi="Times New Roman" w:eastAsia="Times New Roman"/>
          <w:sz w:val="28"/>
          <w:szCs w:val="20"/>
          <w:highlight w:val="none"/>
          <w:lang w:val="uk-UA"/>
        </w:rPr>
        <w:outlineLvl w:val="1"/>
      </w:pPr>
      <w:r>
        <w:rPr>
          <w:rFonts w:ascii="Times New Roman" w:hAnsi="Times New Roman" w:eastAsia="Times New Roman"/>
          <w:sz w:val="24"/>
          <w:szCs w:val="20"/>
          <w:highlight w:val="none"/>
          <w:lang w:val="uk-UA"/>
        </w:rPr>
        <w:br w:type="page"/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Додаток 2</w:t>
      </w:r>
      <w:r>
        <w:rPr>
          <w:rFonts w:ascii="Times New Roman" w:hAnsi="Times New Roman" w:eastAsia="Times New Roman"/>
          <w:bCs/>
          <w:iCs/>
          <w:sz w:val="28"/>
          <w:szCs w:val="20"/>
        </w:rPr>
      </w:r>
      <w:r/>
    </w:p>
    <w:p>
      <w:pPr>
        <w:pStyle w:val="1002"/>
        <w:ind w:left="5669" w:right="142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highlight w:val="none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 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Програми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фінансової  підтримки громадських об’єднань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ветеранів Менської міської територіальної громади на 202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2-2024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 рік</w:t>
      </w:r>
      <w:r>
        <w:rPr>
          <w:rFonts w:ascii="Times New Roman" w:hAnsi="Times New Roman" w:eastAsia="Times New Roman"/>
          <w:color w:val="000000"/>
          <w:sz w:val="28"/>
          <w:szCs w:val="20"/>
          <w:highlight w:val="none"/>
          <w:lang w:val="uk-UA" w:eastAsia="ru-RU"/>
        </w:rPr>
      </w:r>
      <w:r/>
    </w:p>
    <w:p>
      <w:pPr>
        <w:ind w:left="4961" w:right="0" w:firstLine="0"/>
        <w:shd w:val="nil" w:color="000000"/>
        <w:rPr>
          <w:rFonts w:ascii="Times New Roman" w:hAnsi="Times New Roman" w:eastAsia="Times New Roman"/>
          <w:sz w:val="28"/>
          <w:szCs w:val="20"/>
        </w:rPr>
        <w:outlineLvl w:val="1"/>
      </w:pPr>
      <w:r>
        <w:rPr>
          <w:rFonts w:ascii="Times New Roman" w:hAnsi="Times New Roman" w:eastAsia="Times New Roman"/>
          <w:sz w:val="28"/>
          <w:szCs w:val="20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shd w:val="clear" w:color="FFFFFF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val="uk-UA" w:bidi="ar-SA" w:eastAsia="ru-RU"/>
        </w:rPr>
        <w:t xml:space="preserve">ПОРЯДОК</w:t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br/>
      </w:r>
      <w:r>
        <w:rPr>
          <w:rFonts w:ascii="Times New Roman" w:hAnsi="Times New Roman" w:eastAsia="Times New Roman"/>
          <w:b/>
          <w:sz w:val="28"/>
          <w:szCs w:val="28"/>
          <w:shd w:val="clear" w:color="FFFFFF" w:fill="FFFFFF"/>
          <w:lang w:val="uk-UA" w:bidi="ar-SA" w:eastAsia="ru-RU"/>
        </w:rPr>
        <w:t xml:space="preserve">використання коштів, передбачених в бюджеті Менської міської територіальної громади для надання фінансової підтримки 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shd w:val="clear" w:color="FFFFFF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8"/>
          <w:shd w:val="clear" w:color="FFFFFF" w:fill="FFFFFF"/>
          <w:lang w:val="uk-UA" w:bidi="ar-SA" w:eastAsia="ru-RU"/>
        </w:rPr>
        <w:t xml:space="preserve">громадським об’єднанням ветеранів </w:t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1. Цей Порядок визначає механізм використання коштів, передбачених в бюджеті Менської міської територіальної громади на відповідний  рік по функції «Фінансова підтримка громадських організацій ветеранів»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shd w:val="clear" w:color="FFFFFF" w:fill="FFFFFF"/>
          <w:lang w:val="uk-UA" w:bidi="ar-SA" w:eastAsia="ru-RU"/>
        </w:rPr>
        <w:t xml:space="preserve">(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shd w:val="clear" w:color="FFFFFF" w:fill="FFFFFF"/>
          <w:lang w:val="uk-UA" w:bidi="ar-SA" w:eastAsia="ru-RU"/>
        </w:rPr>
        <w:t xml:space="preserve">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shd w:val="clear" w:color="FFFFFF" w:fill="FFFFFF"/>
          <w:lang w:val="uk-UA" w:bidi="ar-SA" w:eastAsia="ru-RU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алі по тексту – бюджетні кошти)</w:t>
      </w:r>
      <w:r>
        <w:rPr>
          <w:rFonts w:ascii="Times New Roman" w:hAnsi="Times New Roman" w:eastAsia="Times New Roman"/>
          <w:color w:val="FF0000"/>
          <w:sz w:val="28"/>
          <w:szCs w:val="28"/>
          <w:shd w:val="clear" w:color="FFFFFF" w:fill="FFFFFF"/>
          <w:lang w:val="uk-UA" w:bidi="ar-SA" w:eastAsia="ru-RU"/>
        </w:rPr>
        <w:t xml:space="preserve">.</w:t>
      </w:r>
      <w:r/>
    </w:p>
    <w:p>
      <w:pPr>
        <w:ind w:firstLine="709"/>
        <w:jc w:val="both"/>
        <w:rPr>
          <w:rFonts w:ascii="Times New Roman" w:hAnsi="Times New Roman" w:eastAsia="Times New Roman"/>
          <w:color w:val="FF0000"/>
          <w:sz w:val="28"/>
          <w:szCs w:val="28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2. Головним розпорядником бюджетних коштів є Менська міська рада, їх одержувачем – громадське об’єднання ветеранів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України Менської міської ТГ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. Координація співпраці усіх громадських організацій – учасників програми здійснюється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відділом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соціального захисту населення, сім’ї, молоді та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охорони здоров’я Менської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Фінансування за напрямками Програм здійснюється з врахуванням Меморандуму про співпрацю між громадськими об’єднаннями ветеранів через одержувача коштів -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Організацію ветеранів України Менської міської ТГ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3. Для отримання бюджетних коштів з метою їх використання в рамках виконання Програми фінансової підтримки громадських об’єднань ветеранів на 202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рік, затвердженої даним рішенням (далі – Програма), організація (об’єднання) громадська організація – одержувач бюджетних коштів подає до Менської міської ради відповідну зая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вку щодо потреби коштів та напрямки їх використання. Така заявка, а також інші необхідні документи, подаються не пізніше, ніж за 10 днів до проведення заходів, до відділу бухгалтерського обліку та звітності Менської міської ради за встановленою ним формою.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4. Координація діяльності з питань реалізації Програми покладається на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відділ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соціального захисту населення, сім’ї, молоді та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охорони здоров’я Менської міської ради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.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5. Звіт про використання бюджетних коштів за попередній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рік (у разі їх отримання) з відповідними підтверджувальними документами, засвідчений підписом керівника громадської організації – одержувача коштів, що скріплений її печаткою, подається до відділу бухгалтерського обліку та звітності Менської міської ради.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Операції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пов’язані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 з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використанням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бюджетних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коштів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проводяться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відповідно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 до Порядку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обслуговування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місцевого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 бюджету за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видатками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затвердженого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Державним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 казначейством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України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br/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ab/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7. Складання і подання бухгалтерської та фінансової звітності про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використання бюджетних коштів, а також контроль за їх цільовим витрачанням здійснюються в установленому законодавством порядку.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Для здійснення внутрішнього контролю за витрачанням бюджетних коштів та з метою виділення додаткових коштів, головний розпорядник коштів або профільні постійн</w:t>
      </w:r>
      <w:r>
        <w:rPr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міської ради мають право затребувати у громадської організації, що отримує фінансову підтримку з бюджету, проміжний фінансовий звіт з відповідними документами, які це підтверджують.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FFFFFF" w:fill="FFFFFF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нецільове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покладається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одержувач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коштів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bCs/>
          <w:iCs/>
          <w:sz w:val="28"/>
          <w:szCs w:val="28"/>
        </w:rPr>
        <w:outlineLvl w:val="1"/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eastAsia="ru-RU"/>
        </w:rPr>
        <w:t xml:space="preserve">10. Перерозподіл обсягів фінансування, встановлених у пункті 3 додатку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до Програми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проводиться за письмовою згодою керівників громадських організацій – учасників Програми та головного розпорядника бюджетних коштів.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bCs/>
          <w:iCs/>
          <w:sz w:val="28"/>
          <w:szCs w:val="28"/>
        </w:rPr>
        <w:outlineLvl w:val="1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11. Зміна розміру фінансування Програми в цілому та окремих її учасників проводиться у порядку, визначеному для  складання, розгляду, затвердження та основних вимог до виконання кошторисів бюджетних установ.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/>
          <w:sz w:val="28"/>
          <w:szCs w:val="28"/>
          <w:lang w:val="uk-UA"/>
        </w:rPr>
        <w:t xml:space="preserve">12. Залишки кошторисних призначень, визначених на реалізацію Програми, що</w:t>
      </w:r>
      <w:r>
        <w:rPr>
          <w:rFonts w:ascii="Times New Roman" w:hAnsi="Times New Roman"/>
          <w:sz w:val="28"/>
          <w:szCs w:val="28"/>
          <w:lang w:val="uk-UA"/>
        </w:rPr>
        <w:t xml:space="preserve"> складуться на кінець бюджетного року, використовуються у порядку, визначеному Бюджетним кодексом України.</w:t>
      </w:r>
      <w:r/>
    </w:p>
    <w:p>
      <w:pPr>
        <w:jc w:val="both"/>
        <w:rPr>
          <w:rFonts w:ascii="Times New Roman" w:hAnsi="Times New Roman" w:eastAsia="Times New Roman"/>
          <w:color w:val="FF0000"/>
          <w:sz w:val="28"/>
          <w:szCs w:val="28"/>
          <w:shd w:val="clear" w:color="FFFFFF" w:fill="FFFFFF"/>
          <w:lang w:val="uk-UA" w:bidi="ar-SA" w:eastAsia="ru-RU"/>
        </w:rPr>
      </w:pPr>
      <w:r>
        <w:rPr>
          <w:rFonts w:ascii="Times New Roman" w:hAnsi="Times New Roman" w:eastAsia="Times New Roman"/>
          <w:color w:val="FF0000"/>
          <w:sz w:val="28"/>
          <w:szCs w:val="28"/>
          <w:shd w:val="clear" w:color="FFFFFF" w:fill="FFFFFF"/>
          <w:lang w:val="uk-UA" w:bidi="ar-SA" w:eastAsia="ru-RU"/>
        </w:rPr>
      </w:r>
      <w:r/>
    </w:p>
    <w:p>
      <w:pPr>
        <w:pStyle w:val="1031"/>
        <w:spacing w:after="225" w:afterAutospacing="0" w:before="225" w:beforeAutospacing="0"/>
        <w:shd w:val="clear" w:color="FFFFFF" w:fill="FFFFFF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  <w:r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соціального захисту</w:t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населення, сім’ї, молоді та охорони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здоров’я Менської міської ради                                                    Марина МОСКАЛЬЧУК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276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ucida Sans Unicode">
    <w:panose1 w:val="020B060303080402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firstLine="0"/>
      </w:pPr>
      <w:rPr>
        <w:rFonts w:ascii="Times New Roman" w:hAnsi="Times New Roman" w:cs="Times New Roman" w:eastAsia="Times New Roman"/>
        <w:b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366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438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510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582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654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726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98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870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3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isLgl w:val="false"/>
      <w:suff w:val="tab"/>
      <w:lvlText w:val="%2."/>
      <w:lvlJc w:val="left"/>
      <w:pPr>
        <w:ind w:left="347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346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418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90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62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634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06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78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0" w:hanging="40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01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1173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245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317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389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461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533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6055" w:hanging="175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7"/>
  </w:num>
  <w:num w:numId="5">
    <w:abstractNumId w:val="26"/>
  </w:num>
  <w:num w:numId="6">
    <w:abstractNumId w:val="6"/>
  </w:num>
  <w:num w:numId="7">
    <w:abstractNumId w:val="27"/>
  </w:num>
  <w:num w:numId="8">
    <w:abstractNumId w:val="7"/>
  </w:num>
  <w:num w:numId="9">
    <w:abstractNumId w:val="11"/>
  </w:num>
  <w:num w:numId="10">
    <w:abstractNumId w:val="25"/>
  </w:num>
  <w:num w:numId="11">
    <w:abstractNumId w:val="12"/>
  </w:num>
  <w:num w:numId="12">
    <w:abstractNumId w:val="19"/>
  </w:num>
  <w:num w:numId="13">
    <w:abstractNumId w:val="28"/>
  </w:num>
  <w:num w:numId="14">
    <w:abstractNumId w:val="23"/>
  </w:num>
  <w:num w:numId="15">
    <w:abstractNumId w:val="2"/>
  </w:num>
  <w:num w:numId="16">
    <w:abstractNumId w:val="22"/>
  </w:num>
  <w:num w:numId="17">
    <w:abstractNumId w:val="24"/>
  </w:num>
  <w:num w:numId="18">
    <w:abstractNumId w:val="8"/>
  </w:num>
  <w:num w:numId="19">
    <w:abstractNumId w:val="3"/>
  </w:num>
  <w:num w:numId="20">
    <w:abstractNumId w:val="18"/>
  </w:num>
  <w:num w:numId="21">
    <w:abstractNumId w:val="4"/>
  </w:num>
  <w:num w:numId="22">
    <w:abstractNumId w:val="5"/>
  </w:num>
  <w:num w:numId="23">
    <w:abstractNumId w:val="15"/>
  </w:num>
  <w:num w:numId="24">
    <w:abstractNumId w:val="20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9">
    <w:abstractNumId w:val="13"/>
  </w:num>
  <w:num w:numId="30">
    <w:abstractNumId w:val="21"/>
  </w:num>
  <w:num w:numId="31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4">
    <w:name w:val="Heading 1 Char"/>
    <w:basedOn w:val="771"/>
    <w:link w:val="762"/>
    <w:uiPriority w:val="9"/>
    <w:rPr>
      <w:rFonts w:ascii="Arial" w:hAnsi="Arial" w:cs="Arial" w:eastAsia="Arial"/>
      <w:sz w:val="40"/>
      <w:szCs w:val="40"/>
    </w:rPr>
  </w:style>
  <w:style w:type="character" w:styleId="745">
    <w:name w:val="Heading 2 Char"/>
    <w:basedOn w:val="771"/>
    <w:link w:val="763"/>
    <w:uiPriority w:val="9"/>
    <w:rPr>
      <w:rFonts w:ascii="Arial" w:hAnsi="Arial" w:cs="Arial" w:eastAsia="Arial"/>
      <w:sz w:val="34"/>
    </w:rPr>
  </w:style>
  <w:style w:type="character" w:styleId="746">
    <w:name w:val="Heading 3 Char"/>
    <w:basedOn w:val="771"/>
    <w:link w:val="764"/>
    <w:uiPriority w:val="9"/>
    <w:rPr>
      <w:rFonts w:ascii="Arial" w:hAnsi="Arial" w:cs="Arial" w:eastAsia="Arial"/>
      <w:sz w:val="30"/>
      <w:szCs w:val="30"/>
    </w:rPr>
  </w:style>
  <w:style w:type="character" w:styleId="747">
    <w:name w:val="Heading 4 Char"/>
    <w:basedOn w:val="771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748">
    <w:name w:val="Heading 5 Char"/>
    <w:basedOn w:val="771"/>
    <w:link w:val="766"/>
    <w:uiPriority w:val="9"/>
    <w:rPr>
      <w:rFonts w:ascii="Arial" w:hAnsi="Arial" w:cs="Arial" w:eastAsia="Arial"/>
      <w:b/>
      <w:bCs/>
      <w:sz w:val="24"/>
      <w:szCs w:val="24"/>
    </w:rPr>
  </w:style>
  <w:style w:type="character" w:styleId="749">
    <w:name w:val="Heading 6 Char"/>
    <w:basedOn w:val="771"/>
    <w:link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750">
    <w:name w:val="Heading 7 Char"/>
    <w:basedOn w:val="771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1">
    <w:name w:val="Heading 8 Char"/>
    <w:basedOn w:val="771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752">
    <w:name w:val="Heading 9 Char"/>
    <w:basedOn w:val="771"/>
    <w:link w:val="770"/>
    <w:uiPriority w:val="9"/>
    <w:rPr>
      <w:rFonts w:ascii="Arial" w:hAnsi="Arial" w:cs="Arial" w:eastAsia="Arial"/>
      <w:i/>
      <w:iCs/>
      <w:sz w:val="21"/>
      <w:szCs w:val="21"/>
    </w:rPr>
  </w:style>
  <w:style w:type="character" w:styleId="753">
    <w:name w:val="Header Char"/>
    <w:basedOn w:val="771"/>
    <w:link w:val="774"/>
    <w:uiPriority w:val="99"/>
  </w:style>
  <w:style w:type="character" w:styleId="754">
    <w:name w:val="Footer Char"/>
    <w:basedOn w:val="771"/>
    <w:link w:val="775"/>
    <w:uiPriority w:val="99"/>
  </w:style>
  <w:style w:type="paragraph" w:styleId="755">
    <w:name w:val="Caption"/>
    <w:basedOn w:val="761"/>
    <w:next w:val="7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6">
    <w:name w:val="Caption Char"/>
    <w:basedOn w:val="755"/>
    <w:link w:val="775"/>
    <w:uiPriority w:val="99"/>
  </w:style>
  <w:style w:type="paragraph" w:styleId="757">
    <w:name w:val="endnote text"/>
    <w:basedOn w:val="761"/>
    <w:link w:val="758"/>
    <w:uiPriority w:val="99"/>
    <w:semiHidden/>
    <w:unhideWhenUsed/>
    <w:rPr>
      <w:sz w:val="20"/>
    </w:rPr>
    <w:pPr>
      <w:spacing w:lineRule="auto" w:line="240" w:after="0"/>
    </w:pPr>
  </w:style>
  <w:style w:type="character" w:styleId="758">
    <w:name w:val="Endnote Text Char"/>
    <w:link w:val="757"/>
    <w:uiPriority w:val="99"/>
    <w:rPr>
      <w:sz w:val="20"/>
    </w:rPr>
  </w:style>
  <w:style w:type="character" w:styleId="759">
    <w:name w:val="endnote reference"/>
    <w:basedOn w:val="771"/>
    <w:uiPriority w:val="99"/>
    <w:semiHidden/>
    <w:unhideWhenUsed/>
    <w:rPr>
      <w:vertAlign w:val="superscript"/>
    </w:rPr>
  </w:style>
  <w:style w:type="paragraph" w:styleId="760">
    <w:name w:val="table of figures"/>
    <w:basedOn w:val="761"/>
    <w:next w:val="761"/>
    <w:uiPriority w:val="99"/>
    <w:unhideWhenUsed/>
    <w:pPr>
      <w:spacing w:after="0" w:afterAutospacing="0"/>
    </w:pPr>
  </w:style>
  <w:style w:type="paragraph" w:styleId="761" w:default="1">
    <w:name w:val="Normal"/>
    <w:qFormat/>
    <w:rPr>
      <w:lang w:val="ru-RU" w:bidi="en-US" w:eastAsia="en-US"/>
    </w:rPr>
  </w:style>
  <w:style w:type="paragraph" w:styleId="762">
    <w:name w:val="Heading 1"/>
    <w:basedOn w:val="761"/>
    <w:next w:val="761"/>
    <w:link w:val="8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3">
    <w:name w:val="Heading 2"/>
    <w:basedOn w:val="761"/>
    <w:next w:val="761"/>
    <w:link w:val="8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4">
    <w:name w:val="Heading 3"/>
    <w:basedOn w:val="761"/>
    <w:next w:val="761"/>
    <w:link w:val="8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5">
    <w:name w:val="Heading 4"/>
    <w:basedOn w:val="761"/>
    <w:next w:val="761"/>
    <w:link w:val="8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6">
    <w:name w:val="Heading 5"/>
    <w:basedOn w:val="761"/>
    <w:next w:val="761"/>
    <w:link w:val="8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7">
    <w:name w:val="Heading 6"/>
    <w:basedOn w:val="761"/>
    <w:next w:val="761"/>
    <w:link w:val="82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8">
    <w:name w:val="Heading 7"/>
    <w:basedOn w:val="761"/>
    <w:next w:val="761"/>
    <w:link w:val="82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9">
    <w:name w:val="Heading 8"/>
    <w:basedOn w:val="761"/>
    <w:next w:val="761"/>
    <w:link w:val="83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0">
    <w:name w:val="Heading 9"/>
    <w:basedOn w:val="761"/>
    <w:next w:val="761"/>
    <w:link w:val="8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paragraph" w:styleId="774">
    <w:name w:val="Header"/>
    <w:basedOn w:val="761"/>
    <w:link w:val="83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75">
    <w:name w:val="Footer"/>
    <w:basedOn w:val="761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76">
    <w:name w:val="Plain Table 1"/>
    <w:basedOn w:val="77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77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>
    <w:name w:val="Grid Table 1 Light"/>
    <w:basedOn w:val="77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basedOn w:val="7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"/>
    <w:basedOn w:val="7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4"/>
    <w:basedOn w:val="77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>
    <w:name w:val="Grid Table 5 Dark"/>
    <w:basedOn w:val="7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786">
    <w:name w:val="Grid Table 6 Colorful"/>
    <w:basedOn w:val="77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>
    <w:name w:val="Grid Table 7 Colorful"/>
    <w:basedOn w:val="77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"/>
    <w:basedOn w:val="772"/>
    <w:uiPriority w:val="99"/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7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>
    <w:name w:val="List Table 3"/>
    <w:basedOn w:val="7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7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77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77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4">
    <w:name w:val="List Table 7 Colorful"/>
    <w:basedOn w:val="77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а простая 11"/>
    <w:basedOn w:val="77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Таблица простая 21"/>
    <w:basedOn w:val="77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Таблица простая 31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Таблица простая 41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а простая 51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 w:customStyle="1">
    <w:name w:val="Таблица-сетка 1 светлая1"/>
    <w:basedOn w:val="77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а-сетка 21"/>
    <w:basedOn w:val="7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а-сетка 31"/>
    <w:basedOn w:val="7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а-сетка 41"/>
    <w:basedOn w:val="77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Таблица-сетка 5 темная1"/>
    <w:basedOn w:val="7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05" w:customStyle="1">
    <w:name w:val="Таблица-сетка 6 цветная1"/>
    <w:basedOn w:val="77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Таблица-сетка 7 цветная1"/>
    <w:basedOn w:val="77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Список-таблица 1 светлая1"/>
    <w:basedOn w:val="772"/>
    <w:uiPriority w:val="99"/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Список-таблица 21"/>
    <w:basedOn w:val="77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Список-таблица 31"/>
    <w:basedOn w:val="7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Список-таблица 41"/>
    <w:basedOn w:val="7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Список-таблица 5 темная1"/>
    <w:basedOn w:val="77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Список-таблица 6 цветная1"/>
    <w:basedOn w:val="77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Список-таблица 7 цветная1"/>
    <w:basedOn w:val="77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14" w:customStyle="1">
    <w:name w:val="Заголовок 11"/>
    <w:link w:val="839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815" w:customStyle="1">
    <w:name w:val="Заголовок 21"/>
    <w:link w:val="840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816" w:customStyle="1">
    <w:name w:val="Заголовок 31"/>
    <w:link w:val="841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817" w:customStyle="1">
    <w:name w:val="Заголовок 41"/>
    <w:link w:val="842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818" w:customStyle="1">
    <w:name w:val="Заголовок 51"/>
    <w:link w:val="843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819" w:customStyle="1">
    <w:name w:val="Заголовок 61"/>
    <w:link w:val="844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820" w:customStyle="1">
    <w:name w:val="Заголовок 71"/>
    <w:link w:val="845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821" w:customStyle="1">
    <w:name w:val="Заголовок 81"/>
    <w:link w:val="846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822" w:customStyle="1">
    <w:name w:val="Заголовок 91"/>
    <w:link w:val="847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823" w:customStyle="1">
    <w:name w:val="Заголовок 1 Знак1"/>
    <w:basedOn w:val="771"/>
    <w:link w:val="762"/>
    <w:uiPriority w:val="9"/>
    <w:rPr>
      <w:rFonts w:ascii="Arial" w:hAnsi="Arial" w:cs="Arial" w:eastAsia="Arial"/>
      <w:sz w:val="40"/>
      <w:szCs w:val="40"/>
    </w:rPr>
  </w:style>
  <w:style w:type="character" w:styleId="824" w:customStyle="1">
    <w:name w:val="Заголовок 2 Знак1"/>
    <w:basedOn w:val="771"/>
    <w:link w:val="763"/>
    <w:uiPriority w:val="9"/>
    <w:rPr>
      <w:rFonts w:ascii="Arial" w:hAnsi="Arial" w:cs="Arial" w:eastAsia="Arial"/>
      <w:sz w:val="34"/>
    </w:rPr>
  </w:style>
  <w:style w:type="character" w:styleId="825" w:customStyle="1">
    <w:name w:val="Заголовок 3 Знак1"/>
    <w:basedOn w:val="771"/>
    <w:link w:val="764"/>
    <w:uiPriority w:val="9"/>
    <w:rPr>
      <w:rFonts w:ascii="Arial" w:hAnsi="Arial" w:cs="Arial" w:eastAsia="Arial"/>
      <w:sz w:val="30"/>
      <w:szCs w:val="30"/>
    </w:rPr>
  </w:style>
  <w:style w:type="character" w:styleId="826" w:customStyle="1">
    <w:name w:val="Заголовок 4 Знак1"/>
    <w:basedOn w:val="771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827" w:customStyle="1">
    <w:name w:val="Заголовок 5 Знак1"/>
    <w:basedOn w:val="771"/>
    <w:link w:val="766"/>
    <w:uiPriority w:val="9"/>
    <w:rPr>
      <w:rFonts w:ascii="Arial" w:hAnsi="Arial" w:cs="Arial" w:eastAsia="Arial"/>
      <w:b/>
      <w:bCs/>
      <w:sz w:val="24"/>
      <w:szCs w:val="24"/>
    </w:rPr>
  </w:style>
  <w:style w:type="character" w:styleId="828" w:customStyle="1">
    <w:name w:val="Заголовок 6 Знак1"/>
    <w:basedOn w:val="771"/>
    <w:link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829" w:customStyle="1">
    <w:name w:val="Заголовок 7 Знак1"/>
    <w:basedOn w:val="771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0" w:customStyle="1">
    <w:name w:val="Заголовок 8 Знак1"/>
    <w:basedOn w:val="771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831" w:customStyle="1">
    <w:name w:val="Заголовок 9 Знак1"/>
    <w:basedOn w:val="771"/>
    <w:link w:val="770"/>
    <w:uiPriority w:val="9"/>
    <w:rPr>
      <w:rFonts w:ascii="Arial" w:hAnsi="Arial" w:cs="Arial" w:eastAsia="Arial"/>
      <w:i/>
      <w:iCs/>
      <w:sz w:val="21"/>
      <w:szCs w:val="21"/>
    </w:rPr>
  </w:style>
  <w:style w:type="character" w:styleId="832" w:customStyle="1">
    <w:name w:val="Title Char"/>
    <w:basedOn w:val="771"/>
    <w:uiPriority w:val="10"/>
    <w:rPr>
      <w:sz w:val="48"/>
      <w:szCs w:val="48"/>
    </w:rPr>
  </w:style>
  <w:style w:type="character" w:styleId="833" w:customStyle="1">
    <w:name w:val="Subtitle Char"/>
    <w:basedOn w:val="771"/>
    <w:uiPriority w:val="11"/>
    <w:rPr>
      <w:sz w:val="24"/>
      <w:szCs w:val="24"/>
    </w:rPr>
  </w:style>
  <w:style w:type="character" w:styleId="834" w:customStyle="1">
    <w:name w:val="Quote Char"/>
    <w:uiPriority w:val="29"/>
    <w:rPr>
      <w:i/>
    </w:rPr>
  </w:style>
  <w:style w:type="character" w:styleId="835" w:customStyle="1">
    <w:name w:val="Intense Quote Char"/>
    <w:uiPriority w:val="30"/>
    <w:rPr>
      <w:i/>
    </w:rPr>
  </w:style>
  <w:style w:type="character" w:styleId="836" w:customStyle="1">
    <w:name w:val="Верхній колонтитул Знак1"/>
    <w:basedOn w:val="771"/>
    <w:link w:val="774"/>
    <w:uiPriority w:val="99"/>
  </w:style>
  <w:style w:type="character" w:styleId="837" w:customStyle="1">
    <w:name w:val="Нижній колонтитул Знак1"/>
    <w:basedOn w:val="771"/>
    <w:link w:val="775"/>
    <w:uiPriority w:val="99"/>
  </w:style>
  <w:style w:type="character" w:styleId="838" w:customStyle="1">
    <w:name w:val="Footnote Text Char"/>
    <w:uiPriority w:val="99"/>
    <w:rPr>
      <w:sz w:val="18"/>
    </w:rPr>
  </w:style>
  <w:style w:type="character" w:styleId="839" w:customStyle="1">
    <w:name w:val="Заголовок 1 Знак"/>
    <w:link w:val="814"/>
    <w:uiPriority w:val="9"/>
    <w:rPr>
      <w:rFonts w:ascii="Arial" w:hAnsi="Arial" w:cs="Arial" w:eastAsia="Arial"/>
      <w:sz w:val="40"/>
      <w:szCs w:val="40"/>
    </w:rPr>
  </w:style>
  <w:style w:type="character" w:styleId="840" w:customStyle="1">
    <w:name w:val="Заголовок 2 Знак"/>
    <w:link w:val="815"/>
    <w:uiPriority w:val="9"/>
    <w:rPr>
      <w:rFonts w:ascii="Arial" w:hAnsi="Arial" w:cs="Arial" w:eastAsia="Arial"/>
      <w:sz w:val="34"/>
    </w:rPr>
  </w:style>
  <w:style w:type="character" w:styleId="841" w:customStyle="1">
    <w:name w:val="Заголовок 3 Знак"/>
    <w:link w:val="816"/>
    <w:uiPriority w:val="9"/>
    <w:rPr>
      <w:rFonts w:ascii="Arial" w:hAnsi="Arial" w:cs="Arial" w:eastAsia="Arial"/>
      <w:sz w:val="30"/>
      <w:szCs w:val="30"/>
    </w:rPr>
  </w:style>
  <w:style w:type="character" w:styleId="842" w:customStyle="1">
    <w:name w:val="Заголовок 4 Знак"/>
    <w:link w:val="817"/>
    <w:uiPriority w:val="9"/>
    <w:rPr>
      <w:rFonts w:ascii="Arial" w:hAnsi="Arial" w:cs="Arial" w:eastAsia="Arial"/>
      <w:b/>
      <w:bCs/>
      <w:sz w:val="26"/>
      <w:szCs w:val="26"/>
    </w:rPr>
  </w:style>
  <w:style w:type="character" w:styleId="843" w:customStyle="1">
    <w:name w:val="Заголовок 5 Знак"/>
    <w:link w:val="818"/>
    <w:uiPriority w:val="9"/>
    <w:rPr>
      <w:rFonts w:ascii="Arial" w:hAnsi="Arial" w:cs="Arial" w:eastAsia="Arial"/>
      <w:b/>
      <w:bCs/>
      <w:sz w:val="24"/>
      <w:szCs w:val="24"/>
    </w:rPr>
  </w:style>
  <w:style w:type="character" w:styleId="844" w:customStyle="1">
    <w:name w:val="Заголовок 6 Знак"/>
    <w:link w:val="819"/>
    <w:uiPriority w:val="9"/>
    <w:rPr>
      <w:rFonts w:ascii="Arial" w:hAnsi="Arial" w:cs="Arial" w:eastAsia="Arial"/>
      <w:b/>
      <w:bCs/>
      <w:sz w:val="22"/>
      <w:szCs w:val="22"/>
    </w:rPr>
  </w:style>
  <w:style w:type="character" w:styleId="845" w:customStyle="1">
    <w:name w:val="Заголовок 7 Знак"/>
    <w:link w:val="8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6" w:customStyle="1">
    <w:name w:val="Заголовок 8 Знак"/>
    <w:link w:val="821"/>
    <w:uiPriority w:val="9"/>
    <w:rPr>
      <w:rFonts w:ascii="Arial" w:hAnsi="Arial" w:cs="Arial" w:eastAsia="Arial"/>
      <w:i/>
      <w:iCs/>
      <w:sz w:val="22"/>
      <w:szCs w:val="22"/>
    </w:rPr>
  </w:style>
  <w:style w:type="character" w:styleId="847" w:customStyle="1">
    <w:name w:val="Заголовок 9 Знак"/>
    <w:link w:val="822"/>
    <w:uiPriority w:val="9"/>
    <w:rPr>
      <w:rFonts w:ascii="Arial" w:hAnsi="Arial" w:cs="Arial" w:eastAsia="Arial"/>
      <w:i/>
      <w:iCs/>
      <w:sz w:val="21"/>
      <w:szCs w:val="21"/>
    </w:rPr>
  </w:style>
  <w:style w:type="paragraph" w:styleId="848">
    <w:name w:val="List Paragraph"/>
    <w:link w:val="1032"/>
    <w:qFormat/>
    <w:uiPriority w:val="34"/>
    <w:rPr>
      <w:lang w:val="ru-RU" w:bidi="en-US" w:eastAsia="en-US"/>
    </w:rPr>
    <w:pPr>
      <w:contextualSpacing w:val="true"/>
      <w:ind w:left="720"/>
    </w:pPr>
  </w:style>
  <w:style w:type="paragraph" w:styleId="849">
    <w:name w:val="No Spacing"/>
    <w:qFormat/>
    <w:uiPriority w:val="1"/>
    <w:rPr>
      <w:lang w:val="ru-RU" w:bidi="en-US" w:eastAsia="en-US"/>
    </w:rPr>
  </w:style>
  <w:style w:type="paragraph" w:styleId="850">
    <w:name w:val="Title"/>
    <w:link w:val="851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51" w:customStyle="1">
    <w:name w:val="Назва Знак"/>
    <w:link w:val="850"/>
    <w:uiPriority w:val="10"/>
    <w:rPr>
      <w:sz w:val="48"/>
      <w:szCs w:val="48"/>
    </w:rPr>
  </w:style>
  <w:style w:type="paragraph" w:styleId="852">
    <w:name w:val="Subtitle"/>
    <w:link w:val="853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53" w:customStyle="1">
    <w:name w:val="Підзаголовок Знак"/>
    <w:link w:val="852"/>
    <w:uiPriority w:val="11"/>
    <w:rPr>
      <w:sz w:val="24"/>
      <w:szCs w:val="24"/>
    </w:rPr>
  </w:style>
  <w:style w:type="paragraph" w:styleId="854">
    <w:name w:val="Quote"/>
    <w:link w:val="855"/>
    <w:qFormat/>
    <w:uiPriority w:val="29"/>
    <w:rPr>
      <w:i/>
      <w:lang w:val="ru-RU" w:bidi="en-US" w:eastAsia="en-US"/>
    </w:rPr>
    <w:pPr>
      <w:ind w:left="720" w:right="720"/>
    </w:pPr>
  </w:style>
  <w:style w:type="character" w:styleId="855" w:customStyle="1">
    <w:name w:val="Цитата Знак"/>
    <w:link w:val="854"/>
    <w:uiPriority w:val="29"/>
    <w:rPr>
      <w:i/>
    </w:rPr>
  </w:style>
  <w:style w:type="paragraph" w:styleId="856">
    <w:name w:val="Intense Quote"/>
    <w:link w:val="857"/>
    <w:qFormat/>
    <w:uiPriority w:val="30"/>
    <w:rPr>
      <w:i/>
      <w:lang w:val="ru-RU" w:bidi="en-US" w:eastAsia="en-US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7" w:customStyle="1">
    <w:name w:val="Насичена цитата Знак"/>
    <w:link w:val="856"/>
    <w:uiPriority w:val="30"/>
    <w:rPr>
      <w:i/>
    </w:rPr>
  </w:style>
  <w:style w:type="paragraph" w:styleId="858" w:customStyle="1">
    <w:name w:val="Верхний колонтитул1"/>
    <w:link w:val="859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59" w:customStyle="1">
    <w:name w:val="Верхній колонтитул Знак"/>
    <w:link w:val="858"/>
    <w:uiPriority w:val="99"/>
  </w:style>
  <w:style w:type="paragraph" w:styleId="860" w:customStyle="1">
    <w:name w:val="Нижний колонтитул1"/>
    <w:link w:val="861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61" w:customStyle="1">
    <w:name w:val="Нижній колонтитул Знак"/>
    <w:link w:val="860"/>
    <w:uiPriority w:val="99"/>
  </w:style>
  <w:style w:type="table" w:styleId="862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88">
    <w:name w:val="Hyperlink"/>
    <w:uiPriority w:val="99"/>
    <w:unhideWhenUsed/>
    <w:rPr>
      <w:color w:val="0000FF"/>
      <w:u w:val="single"/>
    </w:rPr>
  </w:style>
  <w:style w:type="paragraph" w:styleId="989">
    <w:name w:val="footnote text"/>
    <w:link w:val="990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90" w:customStyle="1">
    <w:name w:val="Текст виноски Знак"/>
    <w:link w:val="989"/>
    <w:uiPriority w:val="99"/>
    <w:rPr>
      <w:sz w:val="18"/>
    </w:rPr>
  </w:style>
  <w:style w:type="character" w:styleId="991">
    <w:name w:val="footnote reference"/>
    <w:uiPriority w:val="99"/>
    <w:unhideWhenUsed/>
    <w:rPr>
      <w:vertAlign w:val="superscript"/>
    </w:rPr>
  </w:style>
  <w:style w:type="paragraph" w:styleId="992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93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94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95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96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97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98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99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1000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1001">
    <w:name w:val="TOC Heading"/>
    <w:uiPriority w:val="39"/>
    <w:unhideWhenUsed/>
    <w:rPr>
      <w:lang w:val="ru-RU" w:bidi="en-US" w:eastAsia="en-US"/>
    </w:rPr>
  </w:style>
  <w:style w:type="paragraph" w:styleId="1002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1003" w:customStyle="1">
    <w:name w:val="Основной шрифт абзаца1"/>
    <w:semiHidden/>
  </w:style>
  <w:style w:type="table" w:styleId="1004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05" w:customStyle="1">
    <w:name w:val="Нет списка1"/>
    <w:semiHidden/>
  </w:style>
  <w:style w:type="paragraph" w:styleId="1006" w:customStyle="1">
    <w:name w:val="Абзац списка1"/>
    <w:basedOn w:val="1002"/>
    <w:pPr>
      <w:contextualSpacing w:val="true"/>
      <w:ind w:left="720"/>
    </w:pPr>
  </w:style>
  <w:style w:type="paragraph" w:styleId="1007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1008" w:customStyle="1">
    <w:name w:val="Без интервала1"/>
    <w:rPr>
      <w:rFonts w:ascii="Times New Roman" w:hAnsi="Times New Roman" w:eastAsia="Batang"/>
      <w:lang w:eastAsia="ru-RU"/>
    </w:rPr>
  </w:style>
  <w:style w:type="paragraph" w:styleId="1009" w:customStyle="1">
    <w:name w:val="Стандартный HTML1"/>
    <w:basedOn w:val="1002"/>
    <w:link w:val="1010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10" w:customStyle="1">
    <w:name w:val="Стандартный HTML Знак"/>
    <w:link w:val="1009"/>
    <w:rPr>
      <w:rFonts w:ascii="Courier New" w:hAnsi="Courier New" w:eastAsia="Times New Roman"/>
      <w:sz w:val="20"/>
      <w:szCs w:val="20"/>
      <w:lang w:eastAsia="ru-RU"/>
    </w:rPr>
  </w:style>
  <w:style w:type="character" w:styleId="1011" w:customStyle="1">
    <w:name w:val="Выделение1"/>
    <w:rPr>
      <w:i/>
      <w:iCs/>
    </w:rPr>
  </w:style>
  <w:style w:type="paragraph" w:styleId="1012" w:customStyle="1">
    <w:name w:val="rvps2"/>
    <w:basedOn w:val="100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013" w:customStyle="1">
    <w:name w:val="Основной текст_"/>
    <w:link w:val="1014"/>
    <w:uiPriority w:val="99"/>
    <w:rPr>
      <w:sz w:val="25"/>
      <w:shd w:val="clear" w:color="FFFFFF" w:fill="FFFFFF"/>
    </w:rPr>
  </w:style>
  <w:style w:type="paragraph" w:styleId="1014" w:customStyle="1">
    <w:name w:val="Основной текст2"/>
    <w:basedOn w:val="1002"/>
    <w:link w:val="1013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FFFFFF" w:fill="FFFFFF"/>
      <w:widowControl w:val="off"/>
    </w:pPr>
  </w:style>
  <w:style w:type="character" w:styleId="1015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1016" w:customStyle="1">
    <w:name w:val="Абзац списку1"/>
    <w:basedOn w:val="1002"/>
    <w:qFormat/>
    <w:uiPriority w:val="99"/>
    <w:pPr>
      <w:contextualSpacing w:val="true"/>
      <w:ind w:left="720"/>
    </w:pPr>
  </w:style>
  <w:style w:type="character" w:styleId="1017" w:customStyle="1">
    <w:name w:val="rvts9"/>
  </w:style>
  <w:style w:type="paragraph" w:styleId="1018" w:customStyle="1">
    <w:name w:val="Текст выноски1"/>
    <w:basedOn w:val="1002"/>
    <w:link w:val="1019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1019" w:customStyle="1">
    <w:name w:val="Текст выноски Знак"/>
    <w:link w:val="1018"/>
    <w:semiHidden/>
    <w:rPr>
      <w:rFonts w:ascii="Arial" w:hAnsi="Arial"/>
      <w:sz w:val="18"/>
      <w:szCs w:val="18"/>
      <w:lang w:val="ru-RU" w:eastAsia="en-US"/>
    </w:rPr>
  </w:style>
  <w:style w:type="paragraph" w:styleId="1020">
    <w:name w:val="HTML Preformatted"/>
    <w:basedOn w:val="761"/>
    <w:link w:val="1021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21" w:customStyle="1">
    <w:name w:val="Стандартний HTML Знак"/>
    <w:link w:val="1020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1022">
    <w:name w:val="Body Text Indent"/>
    <w:basedOn w:val="761"/>
    <w:link w:val="1023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23" w:customStyle="1">
    <w:name w:val="Основний текст з відступом Знак"/>
    <w:link w:val="1022"/>
    <w:rPr>
      <w:rFonts w:ascii="Times New Roman" w:hAnsi="Times New Roman" w:eastAsia="Times New Roman"/>
      <w:lang w:eastAsia="ru-RU"/>
    </w:rPr>
  </w:style>
  <w:style w:type="paragraph" w:styleId="1024">
    <w:name w:val="Body Text Indent 3"/>
    <w:basedOn w:val="761"/>
    <w:link w:val="1025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1025" w:customStyle="1">
    <w:name w:val="Основний текст з відступом 3 Знак"/>
    <w:link w:val="1024"/>
    <w:uiPriority w:val="99"/>
    <w:semiHidden/>
    <w:rPr>
      <w:sz w:val="16"/>
      <w:szCs w:val="16"/>
      <w:lang w:val="ru-RU" w:bidi="en-US" w:eastAsia="en-US"/>
    </w:rPr>
  </w:style>
  <w:style w:type="paragraph" w:styleId="1026" w:customStyle="1">
    <w:name w:val="Абзац списку2"/>
    <w:basedOn w:val="761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27" w:customStyle="1">
    <w:name w:val="docdata"/>
    <w:basedOn w:val="761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28">
    <w:name w:val="Strong"/>
    <w:basedOn w:val="771"/>
    <w:qFormat/>
    <w:uiPriority w:val="22"/>
    <w:rPr>
      <w:b/>
      <w:bCs/>
    </w:rPr>
  </w:style>
  <w:style w:type="character" w:styleId="1029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paragraph" w:styleId="1030" w:customStyle="1">
    <w:name w:val="Heading #41"/>
    <w:rPr>
      <w:rFonts w:ascii="Times New Roman" w:hAnsi="Times New Roman" w:eastAsia="Times New Roman"/>
      <w:b/>
      <w:bCs/>
      <w:sz w:val="20"/>
      <w:szCs w:val="20"/>
      <w:lang w:val="en-US" w:eastAsia="en-US"/>
    </w:rPr>
    <w:pPr>
      <w:jc w:val="center"/>
      <w:spacing w:lineRule="atLeast" w:line="240" w:before="360"/>
      <w:shd w:val="clear" w:color="FFFFFF" w:fill="FFFFFF"/>
      <w:widowControl w:val="off"/>
      <w:outlineLvl w:val="3"/>
    </w:pPr>
  </w:style>
  <w:style w:type="paragraph" w:styleId="1031">
    <w:name w:val="Normal (Web)"/>
    <w:basedOn w:val="761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32" w:customStyle="1">
    <w:name w:val="Абзац списку Знак"/>
    <w:link w:val="848"/>
    <w:uiPriority w:val="34"/>
    <w:rPr>
      <w:lang w:val="ru-RU" w:bidi="en-US" w:eastAsia="en-US"/>
    </w:rPr>
  </w:style>
  <w:style w:type="table" w:styleId="1033" w:customStyle="1">
    <w:name w:val="Сітка таблиці1"/>
    <w:rPr>
      <w:rFonts w:cs="Calibri"/>
      <w:sz w:val="22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034" w:customStyle="1">
    <w:name w:val="docy"/>
    <w:basedOn w:val="77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21</cp:revision>
  <dcterms:created xsi:type="dcterms:W3CDTF">2021-11-10T13:41:00Z</dcterms:created>
  <dcterms:modified xsi:type="dcterms:W3CDTF">2021-12-13T15:34:59Z</dcterms:modified>
</cp:coreProperties>
</file>