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10205"/>
        <w:jc w:val="both"/>
        <w:spacing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Додаток 2 </w:t>
      </w:r>
      <w:r>
        <w:rPr>
          <w:sz w:val="28"/>
        </w:rPr>
      </w:r>
      <w:r/>
    </w:p>
    <w:p>
      <w:pPr>
        <w:ind w:left="10205" w:right="0" w:firstLine="0"/>
        <w:jc w:val="both"/>
        <w:spacing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lang w:val="uk-UA"/>
        </w:rPr>
        <w:t xml:space="preserve">до Програми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>
        <w:rPr>
          <w:rFonts w:ascii="Times New Roman" w:hAnsi="Times New Roman" w:eastAsia="Times New Roman"/>
          <w:sz w:val="28"/>
          <w:lang w:val="uk-UA"/>
        </w:rPr>
        <w:t xml:space="preserve">«Діти Менщини»</w:t>
      </w:r>
      <w:r>
        <w:rPr>
          <w:rFonts w:ascii="Times New Roman" w:hAnsi="Times New Roman" w:eastAsia="Times New Roman"/>
          <w:sz w:val="28"/>
          <w:lang w:val="uk-UA"/>
        </w:rPr>
        <w:t xml:space="preserve"> на 20</w:t>
      </w:r>
      <w:r>
        <w:rPr>
          <w:rFonts w:ascii="Times New Roman" w:hAnsi="Times New Roman" w:eastAsia="Times New Roman"/>
          <w:sz w:val="28"/>
          <w:lang w:val="uk-UA"/>
        </w:rPr>
        <w:t xml:space="preserve">22-2024</w:t>
      </w:r>
      <w:r>
        <w:rPr>
          <w:rFonts w:ascii="Times New Roman" w:hAnsi="Times New Roman" w:eastAsia="Times New Roman"/>
          <w:sz w:val="28"/>
          <w:lang w:val="uk-UA"/>
        </w:rPr>
        <w:t xml:space="preserve"> роки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jc w:val="center"/>
        <w:spacing w:before="120"/>
        <w:rPr>
          <w:rFonts w:ascii="Times New Roman" w:hAnsi="Times New Roman" w:eastAsia="Times New Roman"/>
          <w:b/>
          <w:sz w:val="28"/>
          <w:highlight w:val="none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eastAsia="Times New Roman"/>
          <w:b/>
          <w:sz w:val="28"/>
          <w:lang w:val="uk-UA"/>
        </w:rPr>
        <w:t xml:space="preserve">Напрями діяльності та заходи</w:t>
      </w:r>
      <w:r/>
    </w:p>
    <w:p>
      <w:pPr>
        <w:jc w:val="center"/>
        <w:spacing w:after="240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«Діти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Менщини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»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на 2022-2024 роки </w:t>
      </w:r>
      <w:r/>
    </w:p>
    <w:tbl>
      <w:tblPr>
        <w:tblW w:w="1523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0"/>
        <w:gridCol w:w="11"/>
        <w:gridCol w:w="2932"/>
        <w:gridCol w:w="992"/>
        <w:gridCol w:w="1701"/>
        <w:gridCol w:w="1417"/>
        <w:gridCol w:w="1134"/>
        <w:gridCol w:w="1134"/>
        <w:gridCol w:w="1134"/>
        <w:gridCol w:w="1134"/>
        <w:gridCol w:w="2976"/>
      </w:tblGrid>
      <w:tr>
        <w:trPr>
          <w:trHeight w:val="34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№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18"/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vMerge w:val="restart"/>
            <w:textDirection w:val="lrTb"/>
            <w:noWrap w:val="false"/>
          </w:tcPr>
          <w:p>
            <w:pPr>
              <w:ind w:left="3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Строк виконання заходів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Виконавці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restart"/>
            <w:textDirection w:val="lrTb"/>
            <w:noWrap w:val="false"/>
          </w:tcPr>
          <w:p>
            <w:pPr>
              <w:ind w:left="0" w:right="0" w:firstLine="67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Джерела фінансування </w:t>
            </w:r>
            <w:r/>
          </w:p>
        </w:tc>
        <w:tc>
          <w:tcPr>
            <w:gridSpan w:val="4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5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Орієнтовні обсяги фінансування (вартість), </w:t>
            </w: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тис.грн</w:t>
            </w: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., у тому числі по роках: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30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Загальний обсяг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ind w:right="113"/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16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 етап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ІІ етап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57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235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jc w:val="center"/>
              <w:spacing w:lineRule="auto" w:line="24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uk-UA"/>
              </w:rPr>
              <w:t xml:space="preserve">Запобігання соціальному сирітству, попередження бездоглядності та безпритульності серед дітей</w:t>
            </w:r>
            <w:r/>
          </w:p>
        </w:tc>
      </w:tr>
      <w:tr>
        <w:trPr>
          <w:trHeight w:val="347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1.1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74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Організація  виїздів на території  Менської міської ради для виявлення причин, що зумовлюють дитячу бездоглядність та безпритульність, інші негативні прояви в дитячому середовищі.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74"/>
              <w:jc w:val="both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Забезпечення влаштування дітей, батьки яких ухиляються від виконання батьківських обов’язків, до закладів соціального захисту. Забезпечення функціонування Єдиної інформаційно-аналітичної системи «Діти»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Служба у справах дітей міської ради, міський центр соціальних служб, виконавчий комітет міської ради.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Align w:val="top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Зменшення рівня асоціальних проявів серед дітей.</w:t>
            </w: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 Забезпечення своєчасної постановки на облік дітей, які опинились у складних життєвих обставинах, залишились без піклування батьків</w:t>
            </w:r>
            <w:r/>
          </w:p>
        </w:tc>
      </w:tr>
      <w:tr>
        <w:trPr>
          <w:trHeight w:val="99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1.2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74"/>
              <w:jc w:val="both"/>
              <w:tabs>
                <w:tab w:val="left" w:pos="4677" w:leader="none"/>
                <w:tab w:val="left" w:pos="9355" w:leader="none"/>
              </w:tabs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Проведення виїзних нарад, засідань за «круглим столом» з питань соціально-правового захисту дітей,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опередження насильства та жорстокого поводження, організації взаємодії суб’єктів соціальної роботи з питань виявлення, обліку та надання  соціальних послуг згідно потреб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служба у справах дітей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  <w:lang w:val="uk-UA"/>
              </w:rPr>
              <w:t xml:space="preserve">Підвищення рівня взаємодії структ</w:t>
            </w: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  <w:lang w:val="uk-UA"/>
              </w:rPr>
              <w:t xml:space="preserve">урних підрозділів органів місцевого самоврядування та суб’єктів соціальної роботи, громадських організацій у вирішенні актуальних завдань соціально-правового захисту дітей, попередження виявів насильства, подолання та мінімізація складних життєвих обставин</w:t>
            </w:r>
            <w:r/>
          </w:p>
        </w:tc>
      </w:tr>
      <w:tr>
        <w:trPr>
          <w:trHeight w:val="113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1.3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74"/>
              <w:jc w:val="both"/>
              <w:tabs>
                <w:tab w:val="left" w:pos="4677" w:leader="none"/>
                <w:tab w:val="lef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Організація виїзної роботи з питань виявлення сімей, які перебувають у складних життєвих обставинах, надання їм соціальних послуг,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. послуги соціального супроводу, профілактики негативних явищ, насильства і жорстокого поводження, покращення взаємодії суб’єктів соціальної роботи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служба у справах дітей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Підвищення рівня поінформованості населення  про соціальні послуги, забезпечення доступності і ефективності наданн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я соціальних послуг центром соціальних служб, раннє виявлення фахівцями із соціальної роботи складних життєвих обставин, удосконалення системи захисту прав дітей, попередження виявів насильства, подолання та мінімізація складних життєвих обставин у сім’ях.</w:t>
            </w:r>
            <w:r/>
          </w:p>
        </w:tc>
      </w:tr>
      <w:tr>
        <w:trPr>
          <w:trHeight w:val="113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1.4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просвітницько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-профілактичних акцій, заходів серед дітей, молоді, різних категорій сімей, спрямованих на профілактику соціально-небезпечних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хвороб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, негативних проявів, правопорушень, з питань профілактики дитячої бездоглядності та безпритульності, жорстокого поводження з дітьми та насильства,  пропаганду здорового способу життя, профілактику ВІЛ/СНІДу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служба у справах дітей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113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1.5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62"/>
              <w:jc w:val="both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Проведення навчальних се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мінарів для посадових осіб місцевого самоврядування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 заступників директорів із виховної роботи, інших суб’єктів соціальної роботи  з питань попередження дитячої безпритульності та бездоглядності, профілактики соціального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сирітства, насильства і жорстокого поводження, розвитку сімейних форм виховання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, запровадження послуги патронату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служба у справах дітей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Підвищення професійного рівня знань посадових осіб  міс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цевого самоврядування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, заступників директорів з виховної роботи, інших суб’єктів соціальної роботи, покращення взаємодії всіх суб’єктів соціальної роботи</w:t>
            </w:r>
            <w:r/>
          </w:p>
        </w:tc>
      </w:tr>
      <w:tr>
        <w:trPr>
          <w:cantSplit/>
          <w:trHeight w:val="153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1.6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Забезпечення посередництва у наданні благодійної допомоги та надання послуги натуральної допомоги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Благодійні внески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Соціальна підтримка сімей з дітьми/осіб, які перебувають у складних життєвих обставинах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формування навичок самостійного виходу із складних життєвих обставин</w:t>
            </w:r>
            <w:r/>
          </w:p>
        </w:tc>
      </w:tr>
      <w:tr>
        <w:trPr>
          <w:cantSplit/>
          <w:trHeight w:val="154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0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1.7</w:t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053" w:type="dxa"/>
            <w:textDirection w:val="lrTb"/>
            <w:noWrap w:val="false"/>
          </w:tcPr>
          <w:p>
            <w:pPr>
              <w:ind w:left="62"/>
              <w:jc w:val="both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uk-UA"/>
              </w:rPr>
              <w:t xml:space="preserve">Забезпечення надання соціальних послуг сім’ям/особам, запровадження нових соціальних послуг, інформування населення про нові види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Збільшення кількості отримувачів соціальних послуг, підвищення їх якості та результативності</w:t>
            </w:r>
            <w:r/>
          </w:p>
        </w:tc>
      </w:tr>
      <w:tr>
        <w:trPr>
          <w:trHeight w:val="288"/>
        </w:trPr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723" w:type="dxa"/>
            <w:textDirection w:val="lrTb"/>
            <w:noWrap w:val="false"/>
          </w:tcPr>
          <w:p>
            <w:pPr>
              <w:spacing w:before="0" w:beforeAutospacing="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Всього по розділу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88,500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32,000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36,500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161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2. Соціальний захист дітей-сиріт та дітей, позбавлених батьківського піклування</w:t>
            </w:r>
            <w:r/>
          </w:p>
        </w:tc>
      </w:tr>
      <w:tr>
        <w:trPr>
          <w:trHeight w:val="3969"/>
        </w:trPr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1" w:type="dxa"/>
            <w:textDirection w:val="lrTb"/>
            <w:noWrap w:val="false"/>
          </w:tcPr>
          <w:p>
            <w:pPr>
              <w:ind w:left="62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2.1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32" w:type="dxa"/>
            <w:textDirection w:val="lrTb"/>
            <w:noWrap w:val="false"/>
          </w:tcPr>
          <w:p>
            <w:pPr>
              <w:ind w:lef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Розробка, випуск та розповсюдження соціально-рекламної, друкованої інформаційно-просвітницької продукції, інформації в мережі Інтернет стосовно влаштуванн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я дітей-сиріт, дітей, позбавлених батьківського піклування, до сімейних форм виховання та послуги патронату. Проведення заходу з нагоди Дня усиновлення (30 вересня), інших заходів щодо популяризації сімейних форм виховання, запровадження послуги патронату.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-202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служба у справах дітей 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9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,500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5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,500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7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,000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7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,000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Забезпечення доступу насе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лення до інформації з питань влаштування дітей-сиріт та дітей, позбавлених батьківського піклування, до сімейних форм виховання, популяризація сімейних форм виховання, підтримання престижу прийомних сімей і ДБСТ, запровадження в громаді послуги патронату. </w:t>
            </w:r>
            <w:r/>
          </w:p>
        </w:tc>
      </w:tr>
      <w:tr>
        <w:trPr>
          <w:trHeight w:val="2126"/>
        </w:trPr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1" w:type="dxa"/>
            <w:textDirection w:val="lrTb"/>
            <w:noWrap w:val="false"/>
          </w:tcPr>
          <w:p>
            <w:pPr>
              <w:ind w:left="62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2.2</w:t>
            </w:r>
            <w:r/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r>
            <w:r/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r>
            <w:r/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32" w:type="dxa"/>
            <w:textDirection w:val="lrTb"/>
            <w:noWrap w:val="false"/>
          </w:tcPr>
          <w:p>
            <w:pPr>
              <w:ind w:left="62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Пошук, підготовка кандидатів у прийомні батьки, ДБСТ, забезпечення соціального супроводження прийомних сімей, ДБСТ, соціального супроводу  опікунських сімей та осіб з числа дітей-сиріт та позбавлених батьківського піклування.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служб, </w:t>
            </w:r>
            <w:r/>
          </w:p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служба у справах дітей 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7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,000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0,500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2,000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,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500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Збільшення кількості дітей-сиріт, 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позбавлених батьківського піклування, які влаштовані в сімейні форми виховання.</w:t>
            </w:r>
            <w:r/>
          </w:p>
        </w:tc>
      </w:tr>
      <w:tr>
        <w:trPr>
          <w:trHeight w:val="130"/>
        </w:trPr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723" w:type="dxa"/>
            <w:vAlign w:val="top"/>
            <w:textDirection w:val="lrTb"/>
            <w:noWrap w:val="false"/>
          </w:tcPr>
          <w:p>
            <w:pPr>
              <w:ind w:right="113"/>
              <w:jc w:val="center"/>
              <w:spacing w:before="0" w:beforeAutospacing="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В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сього по розділу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6,000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9,000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281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235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2"/>
              </w:numPr>
              <w:jc w:val="center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Соціальне забезпеч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ення та підтримка сімей з дітьми</w:t>
            </w:r>
            <w:r/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3969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 xml:space="preserve">3.1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43" w:type="dxa"/>
            <w:textDirection w:val="lrTb"/>
            <w:noWrap w:val="false"/>
          </w:tcPr>
          <w:p>
            <w:pPr>
              <w:ind w:left="0" w:right="34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Проведення благодійних акцій, святкових заходів для дітей соціально незахищених категорій з нагоди відзначення Дня сім’ї і матері, Дня захисту дітей (1 червня); Дня захисту інвалідів, Новорічних та Різдвяних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свят. Проведення акцій та заходів з питань популяризації сімейних цінностей, здорового способу життя, попередження негативних проявів, залучення ресурсів громади до підтримки сімей, інших благодійних заходів та заходів соціальної підтримки сімей з дітьми. 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22-2024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Бюджет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162,000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55,000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Підтримка соціально незахищених категорій сімей, мобілізація ресурсів громади на організацію соціальної підтримки сімей, які перебувають в складних життєвих обставинах. Популяризація сімейних цінностей. Підтримка творчої молоді.</w:t>
            </w:r>
            <w:r/>
          </w:p>
        </w:tc>
      </w:tr>
      <w:tr>
        <w:trPr>
          <w:trHeight w:val="959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70" w:type="dxa"/>
            <w:textDirection w:val="lrTb"/>
            <w:noWrap w:val="false"/>
          </w:tcPr>
          <w:p>
            <w:pPr>
              <w:jc w:val="center"/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3.2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43" w:type="dxa"/>
            <w:textDirection w:val="lrTb"/>
            <w:noWrap w:val="false"/>
          </w:tcPr>
          <w:p>
            <w:pPr>
              <w:ind w:left="62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Забезпечення посередництва у наданні благодійної допомоги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-202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Міський центр соціальних служб 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Благодійні внески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/>
              </w:rPr>
              <w:t xml:space="preserve">, бюджет міської ради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60,000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20,000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383"/>
        </w:trPr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72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val="uk-UA"/>
              </w:rPr>
              <w:t xml:space="preserve">Всього по розділу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 222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75,000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uk-UA"/>
              </w:rPr>
              <w:t xml:space="preserve">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23"/>
        </w:trPr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7723" w:type="dxa"/>
            <w:textDirection w:val="lrTb"/>
            <w:noWrap w:val="false"/>
          </w:tcPr>
          <w:p>
            <w:pPr>
              <w:jc w:val="center"/>
              <w:spacing w:before="0" w:beforeAutospacing="0"/>
              <w:rPr>
                <w:lang w:val="uk-U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  <w:lang w:val="uk-UA"/>
              </w:rPr>
              <w:t xml:space="preserve">Разом по заходам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337,00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101,000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113,000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123,000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976" w:type="dxa"/>
            <w:textDirection w:val="lrTb"/>
            <w:noWrap w:val="false"/>
          </w:tcPr>
          <w:p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</w:r>
            <w:r/>
          </w:p>
        </w:tc>
      </w:tr>
    </w:tbl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             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709" w:right="850" w:bottom="426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jc w:val="right"/>
      <w:rPr>
        <w:rFonts w:ascii="Times New Roman" w:hAnsi="Times New Roman" w:cs="Times New Roman" w:eastAsia="Times New Roman"/>
        <w:i/>
      </w:rPr>
    </w:pPr>
    <w:fldSimple w:instr="PAGE \* MERGEFORMAT">
      <w:r>
        <w:t xml:space="preserve">1</w:t>
      </w:r>
    </w:fldSimple>
    <w: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>
      <w:rPr>
        <w:rFonts w:ascii="Times New Roman" w:hAnsi="Times New Roman" w:cs="Times New Roman" w:eastAsia="Times New Roman"/>
        <w:i/>
      </w:rPr>
    </w:r>
  </w:p>
  <w:p>
    <w:pPr>
      <w:pStyle w:val="685"/>
      <w:rPr>
        <w:rFonts w:ascii="Times New Roman" w:hAnsi="Times New Roman" w:cs="Times New Roman" w:eastAsia="Times New Roman"/>
        <w:i/>
      </w:rPr>
    </w:pPr>
    <w:r>
      <w:rPr>
        <w:rFonts w:ascii="Times New Roman" w:hAnsi="Times New Roman" w:cs="Times New Roman" w:eastAsia="Times New Roman"/>
        <w:i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5"/>
    <w:next w:val="835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basedOn w:val="836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5"/>
    <w:next w:val="835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basedOn w:val="836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5"/>
    <w:next w:val="835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basedOn w:val="836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5"/>
    <w:next w:val="835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basedOn w:val="836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5"/>
    <w:next w:val="835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basedOn w:val="836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5"/>
    <w:next w:val="835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basedOn w:val="836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5"/>
    <w:next w:val="835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basedOn w:val="836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5"/>
    <w:next w:val="835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basedOn w:val="836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5"/>
    <w:next w:val="835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basedOn w:val="836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No Spacing"/>
    <w:qFormat/>
    <w:uiPriority w:val="1"/>
    <w:pPr>
      <w:spacing w:lineRule="auto" w:line="240" w:after="0" w:before="0"/>
    </w:pPr>
  </w:style>
  <w:style w:type="paragraph" w:styleId="677">
    <w:name w:val="Title"/>
    <w:basedOn w:val="835"/>
    <w:next w:val="835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>
    <w:name w:val="Title Char"/>
    <w:basedOn w:val="836"/>
    <w:link w:val="677"/>
    <w:uiPriority w:val="10"/>
    <w:rPr>
      <w:sz w:val="48"/>
      <w:szCs w:val="48"/>
    </w:rPr>
  </w:style>
  <w:style w:type="paragraph" w:styleId="679">
    <w:name w:val="Subtitle"/>
    <w:basedOn w:val="835"/>
    <w:next w:val="835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basedOn w:val="836"/>
    <w:link w:val="679"/>
    <w:uiPriority w:val="11"/>
    <w:rPr>
      <w:sz w:val="24"/>
      <w:szCs w:val="24"/>
    </w:rPr>
  </w:style>
  <w:style w:type="paragraph" w:styleId="681">
    <w:name w:val="Quote"/>
    <w:basedOn w:val="835"/>
    <w:next w:val="835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5"/>
    <w:next w:val="835"/>
    <w:link w:val="684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5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6"/>
    <w:link w:val="685"/>
    <w:uiPriority w:val="99"/>
  </w:style>
  <w:style w:type="paragraph" w:styleId="687">
    <w:name w:val="Footer"/>
    <w:basedOn w:val="835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6"/>
    <w:link w:val="687"/>
    <w:uiPriority w:val="99"/>
  </w:style>
  <w:style w:type="paragraph" w:styleId="689">
    <w:name w:val="Caption"/>
    <w:basedOn w:val="835"/>
    <w:next w:val="8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687"/>
    <w:uiPriority w:val="99"/>
  </w:style>
  <w:style w:type="table" w:styleId="691">
    <w:name w:val="Table Grid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7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8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9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0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1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2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3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4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5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6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7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8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9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0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rPr>
      <w:rFonts w:ascii="Calibri" w:hAnsi="Calibri" w:cs="Times New Roman" w:eastAsia="Calibri"/>
      <w:sz w:val="24"/>
      <w:szCs w:val="24"/>
      <w:lang w:val="en-US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List Paragraph"/>
    <w:basedOn w:val="83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16</cp:revision>
  <dcterms:created xsi:type="dcterms:W3CDTF">2021-11-04T14:33:00Z</dcterms:created>
  <dcterms:modified xsi:type="dcterms:W3CDTF">2021-12-13T15:39:29Z</dcterms:modified>
</cp:coreProperties>
</file>