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contextualSpacing w:val="true"/>
        <w:ind w:left="6804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71"/>
        <w:contextualSpacing w:val="true"/>
        <w:ind w:left="6804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«Молодь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2022 - 2024 роки</w:t>
      </w:r>
      <w:r/>
      <w:r>
        <w:rPr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ПОЛОЖЕННЯ 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ПРОВЕДЕННЯ КОНКУРСУ ДИТЯЧИХ ТА МОЛОДІЖНИХ ІНІ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ІАТИВ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2021 рік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ЗАГАЛЬНІ ПОЛОЖЕННЯ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роках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роки.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Мета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дитячих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Конкурс)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ідтримка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руху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потенціалу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талановитих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розв’язання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проблем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створення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сприятливих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передумов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партнерських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відносин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владою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молоддю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стимулювання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фінансової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ідтримки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на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итетні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Конкурсу: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Здоровий та безпечний спосіб життя;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Співпраця молоді з виконавчим комітетом Менської міської ради, підтримка молодіжних ініціатив;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Громадянськість та патріотизм;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Творчі ініціативи та сприяння розвитку змістовного дозвілля молоді.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68"/>
        <w:numPr>
          <w:ilvl w:val="0"/>
          <w:numId w:val="3"/>
        </w:numPr>
        <w:jc w:val="center"/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УМОВИ КОНКУРСУ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2.1. До участі у конкурсі запрошуються групи шкільної молоді, молоді, молодіжні гр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омадсь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 організації Менської міської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територіальної громади та інші об’єднання людей віком від 14 до 24 років.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2.2. Для проведення Конкурсу створюється наглядово-експертна комісія у складі 7 осіб: з працівників структурних підрозділів Менської міської ради, Менської молодіжної ради (за умови якщо вони не є учасниками конкурсу) та представників громадськості.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Головою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призначається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заступник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іського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діяльності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виконавчих органів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своїй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діяльності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керується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іншими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документами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Група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подавати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проект,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реалізується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запропонованих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напрямкі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урсанти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подають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наступні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2.4.1. </w:t>
      </w:r>
      <w:hyperlink r:id="rId14" w:tooltip="http://ukrainka.org/wp-content/uploads/2019/03/Dodatok-1-Zayavka.doc" w:history="1">
        <w:r>
          <w:rPr>
            <w:rStyle w:val="869"/>
            <w:rFonts w:ascii="Times New Roman" w:hAnsi="Times New Roman"/>
            <w:color w:val="000000" w:themeColor="text1"/>
            <w:sz w:val="28"/>
            <w:szCs w:val="28"/>
          </w:rPr>
          <w:t xml:space="preserve">з</w:t>
        </w:r>
        <w:r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 xml:space="preserve">аявку (</w:t>
        </w:r>
        <w:r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 xml:space="preserve">додаток</w:t>
        </w:r>
        <w:r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 xml:space="preserve"> 1)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2.4.2. </w:t>
      </w:r>
      <w:r>
        <w:rPr>
          <w:rFonts w:ascii="Times New Roman" w:hAnsi="Times New Roman"/>
          <w:color w:val="000000" w:themeColor="text1"/>
          <w:sz w:val="28"/>
          <w:lang w:val="uk-UA"/>
        </w:rPr>
        <w:fldChar w:fldCharType="begin"/>
      </w:r>
      <w:r>
        <w:rPr>
          <w:rFonts w:ascii="Times New Roman" w:hAnsi="Times New Roman"/>
          <w:color w:val="000000" w:themeColor="text1"/>
          <w:sz w:val="28"/>
          <w:lang w:val="uk-UA"/>
        </w:rPr>
        <w:instrText xml:space="preserve">HYPERLINK "http://ukrainka.org/wp-content/uploads/2019/03/Dodatok-2-Aplikatsijna-forma.doc"</w:instrText>
      </w:r>
      <w:r>
        <w:rPr>
          <w:rFonts w:ascii="Times New Roman" w:hAnsi="Times New Roman"/>
          <w:color w:val="000000" w:themeColor="text1"/>
          <w:sz w:val="28"/>
          <w:lang w:val="uk-UA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аплікаційну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описом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бюджетом проекту (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додаток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2)</w:t>
      </w:r>
      <w:r>
        <w:rPr>
          <w:rFonts w:ascii="Times New Roman" w:hAnsi="Times New Roman"/>
          <w:color w:val="000000" w:themeColor="text1"/>
          <w:sz w:val="28"/>
          <w:lang w:val="uk-UA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2.4.3.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завірених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печаткою (при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наявності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ідписом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реєст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раційних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паспорту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керівника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паспорту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ідентифікаційного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коду особи (для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фізичних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віком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24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2.5.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Вартість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одного проекту не повинна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перевищувати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50 тис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2.6.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роекти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письмовому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електронному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вигляді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формами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зразка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лізація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повинна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спрямована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територію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2.8.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протягом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допускаються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фінансуються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наступних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умов: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2.9.1.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Виявлення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недостовірної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Відкликання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конкурсантом проекту;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Надходження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ісля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закінчення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встановленого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строку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2.9.4.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повному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обсязі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якщо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документація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відповідає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вимогам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2.9.5.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Спрямування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політичну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та/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виборчу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2.9.6.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прибутку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прямої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матеріальної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2.9.7.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заробітної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плати,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винагороди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компенсаційних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виплат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учасникам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2.9.8.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Погашення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боргових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зобов’язань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матер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іального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збитку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2.9.9.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Витрачання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придбання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ліцензій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патентів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товарних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знаків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2.9.10.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Придбання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ремонтування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ініціативних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груп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Конкурсанти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відповідають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достовірність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вони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надають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2.10.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окрему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вимогу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конкурсанти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надавати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додаткову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наочної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презентації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допускається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демонстраційних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показів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робіт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друкованих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видань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ауд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відеопродукції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</w:t>
      </w:r>
      <w:r/>
    </w:p>
    <w:p>
      <w:pPr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ПОВНОВАЖЕННЯ І РЕГЛАМЕНТ РОБОТИ НАГЛЯДОВО-ЕКСПЕРТНОЇ КОМІСІЇ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лядово-експертна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контролює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плану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Конкурсу.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необхідні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перевірку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допуск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Конкурсу.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3.4.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прозорістю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відповідністю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процедури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3.5.В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разі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виявлення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порушень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та/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знімати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3.6.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Засіда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правочинним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беруть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більше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половини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затвердженого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персонального складу.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 За рез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ультатами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комісією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фіксуються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протоколі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підписуються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головою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випадку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відсутності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заступником.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3.8.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більшістю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членів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брали участь 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засіданні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випадку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рівної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вирішальним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ГРАФІК ПРОВЕДЕННЯ КОНКУРСУ ТА ВИЗНАЧЕННЯ ПЕРЕМОЖЦІВ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Заявки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документація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відбувається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окремим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графіком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затвердженим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порядку,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суперечить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чинному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відбувається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встановленою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формою.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4.4.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Протягом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15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закінчення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ідбувається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комісією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4.5. Конкурс проводиться 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онлайн-голосування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використанням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серві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Google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4.6.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участь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жителі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4.7.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Термін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30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календарних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4.8.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ідрахунок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разі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порушення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умов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недостовірності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голоси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зараховуються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4.9.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Повідомлення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переможців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висвітлюється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ісцевих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засобах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масової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оф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іційному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сайті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4.10. За результатами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інформує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езультати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реалізованих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найближчому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засіданні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ради.</w:t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ФІНАНСУВАННЯ РЕАЛІЗАЦІЇ ПРОЕКТІВ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нансування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переможцями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рахунок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бюджету,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роки в рамках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роки.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понесені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конкурсантами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ісля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завершення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строку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проекту,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оплаті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підлягають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lang w:val="uk-UA"/>
        </w:rPr>
      </w:r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5.4.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ніторинг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 , сім’ї, молоді та охорони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здоров’я міської ради                                                      Марина МОСКАЛЬЧУК</w:t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57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 w:before="0"/>
    </w:pPr>
  </w:style>
  <w:style w:type="paragraph" w:styleId="707">
    <w:name w:val="Title"/>
    <w:basedOn w:val="864"/>
    <w:next w:val="864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4"/>
    <w:next w:val="864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4"/>
    <w:next w:val="864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4"/>
    <w:next w:val="864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4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5"/>
    <w:link w:val="715"/>
    <w:uiPriority w:val="99"/>
  </w:style>
  <w:style w:type="paragraph" w:styleId="717">
    <w:name w:val="Footer"/>
    <w:basedOn w:val="864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5"/>
    <w:link w:val="717"/>
    <w:uiPriority w:val="99"/>
  </w:style>
  <w:style w:type="paragraph" w:styleId="719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List Paragraph"/>
    <w:basedOn w:val="864"/>
    <w:qFormat/>
    <w:uiPriority w:val="34"/>
    <w:rPr>
      <w:rFonts w:ascii="Calibri" w:hAnsi="Calibri" w:cs="Times New Roman" w:eastAsia="Calibri"/>
      <w:sz w:val="24"/>
      <w:szCs w:val="24"/>
      <w:lang w:val="uk-UA" w:bidi="en-US" w:eastAsia="en-US"/>
    </w:rPr>
    <w:pPr>
      <w:contextualSpacing w:val="true"/>
      <w:ind w:left="720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>
    <w:name w:val="Hyperlink"/>
    <w:basedOn w:val="865"/>
    <w:uiPriority w:val="99"/>
    <w:semiHidden/>
    <w:unhideWhenUsed/>
    <w:rPr>
      <w:color w:val="0000FF"/>
      <w:u w:val="single"/>
    </w:rPr>
  </w:style>
  <w:style w:type="paragraph" w:styleId="870" w:customStyle="1">
    <w:name w:val="docdata"/>
    <w:basedOn w:val="86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1">
    <w:name w:val="Normal (Web)"/>
    <w:basedOn w:val="86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ukrainka.org/wp-content/uploads/2019/03/Dodatok-1-Zayavka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ПРИМАКОВ Геннадій Анатолійович</cp:lastModifiedBy>
  <cp:revision>9</cp:revision>
  <dcterms:created xsi:type="dcterms:W3CDTF">2021-11-15T08:11:00Z</dcterms:created>
  <dcterms:modified xsi:type="dcterms:W3CDTF">2021-12-13T18:28:13Z</dcterms:modified>
</cp:coreProperties>
</file>