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Додаток </w:t>
      </w:r>
      <w:r/>
    </w:p>
    <w:p>
      <w:pPr>
        <w:ind w:left="5669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до рішення 15 сесії Менської міської ради 8 скликання від 09ю12ю2021 №798</w:t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ПАСПОРТ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Програми підтримки та розвитку місцевого самоврядування на території Менської міської територіальної громади на 2022-2024 роки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7380" w:leader="none"/>
        </w:tabs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410"/>
        <w:gridCol w:w="5700"/>
      </w:tblGrid>
      <w:tr>
        <w:trPr>
          <w:trHeight w:val="25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Ініціатор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Дата, номер і назва розпорядчого </w:t>
            </w: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документа органу виконавчої влади </w:t>
            </w: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про розроблення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Європейська Хартія Місцевого самоврядування, Конституція України, Закони України «Про місцеве самоврядування в Україні», «Про адміністративні послуги», «Про статус депутатів місцевих рад»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Розробник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Співрозробники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7"/>
                <w:sz w:val="28"/>
              </w:rPr>
              <w:t xml:space="preserve">Учасники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Депутати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Виконавчий комітет Менської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5"/>
                <w:sz w:val="28"/>
              </w:rPr>
              <w:t xml:space="preserve">Термін реалізації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2022-2024 роки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Етапи виконання Програми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І-ий етап: 2022 рік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ІІ-ий етап: 2023 рік</w:t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ІІІ-ий етап: 2024 рік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Джерела фінансування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Бюджет Менської міської територіальної громади та інші джерела, не заборонені чинним законодавством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251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6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1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pacing w:val="-6"/>
                <w:sz w:val="28"/>
              </w:rPr>
              <w:t xml:space="preserve">Загальний обсяг фінансових ресурсів, необхідних для реалізації П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рограми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00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shd w:val="clear" w:color="FFFFFF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7680 тис.грн.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</w:rPr>
        <w:br w:type="page"/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Програма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підтримки та розвитку місцевого самоврядування на території Менської міської територіальної громади на 2022-2024 роки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Правова база 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Дана Програма розроблена на основі Європейської Хартії Місцевого самоврядування, Конституції України, законів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та «Про статус депутатів місцевих рад».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Мета Програми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Завдання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та фінансування Програми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Розширення місцевої демократії, налагодження постійної тісної співпраці міської ради та її виконавчого комітету із громадянами, недержавними громадськими організаціями, бізнесом і владою, встановлення та підтримка партнерських зв’язків з громадами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інших міст в Україні і за кордоном, обмін досвідом.</w:t>
      </w:r>
      <w:r>
        <w:rPr>
          <w:sz w:val="28"/>
        </w:rPr>
      </w:r>
      <w:r/>
    </w:p>
    <w:p>
      <w:pPr>
        <w:ind w:left="0" w:right="0" w:firstLine="708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Програми здійснюється за рахунок коштів бюджету громади.</w:t>
      </w:r>
      <w:r>
        <w:rPr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ІV.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Заходи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 виконанню Програми</w:t>
      </w:r>
      <w:r>
        <w:rPr>
          <w:sz w:val="28"/>
        </w:rPr>
      </w:r>
      <w:r/>
    </w:p>
    <w:p>
      <w:pPr>
        <w:numPr>
          <w:ilvl w:val="0"/>
          <w:numId w:val="1"/>
        </w:numPr>
        <w:jc w:val="both"/>
        <w:spacing w:lineRule="auto" w:line="240" w:after="0" w:afterAutospacing="0" w:before="0" w:beforeAutospacing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Інформаційна політика</w:t>
      </w:r>
      <w:r>
        <w:rPr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376"/>
        <w:gridCol w:w="850"/>
        <w:gridCol w:w="1146"/>
        <w:gridCol w:w="1013"/>
        <w:gridCol w:w="1100"/>
        <w:gridCol w:w="2585"/>
      </w:tblGrid>
      <w:tr>
        <w:trPr>
          <w:trHeight w:val="54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 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top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щороку, грн.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center"/>
            <w:textDirection w:val="lrTb"/>
            <w:noWrap w:val="false"/>
          </w:tcPr>
          <w:p>
            <w:pPr>
              <w:contextualSpacing w:val="false"/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Очікуваний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результат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7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прес-конференцій для засобів масової інформації.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Підвищення рівня обізнаності мешканців громади із напрямками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84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прийомів міським головою, заступниками міського голови та іншими посадовими особами мешканців громади.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 (за окремими графіками)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Посадові особи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-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Надання консультативної та практичної допомоги мешканцям громади у вирішенні їх проблем.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113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1.3.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Інформаційне забезпечення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210 000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70 000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Зворотний зв’язок із жителями громади. Публікації інформаційних матеріалів в друкованих засобах масової інформації.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Відкриття та фінансування місцевого радіо, оплата інших інформаційних матеріалів.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5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1.4.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опитувань громадської думки мешканців громади , залучення експертів.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громадської думки щодо важливих питань життя громадян. 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>
          <w:trHeight w:val="69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1.5.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Використання системи електронного голосування та інших програмних/апаратних засобів для забезпечення публічності проведення заходів їх обслуговування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2022-2024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Зак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упівля ПЗ та інвентарю, програмного забезпечення, апаратних засобів  для забезпечення впровадження системи електронного голосування та забезпечення публічності проведення заходів (сесії, виконкоми, наради, конференції, робочі групи, конкурсні комісії тощо)</w:t>
            </w:r>
            <w:r/>
          </w:p>
        </w:tc>
      </w:tr>
      <w:tr>
        <w:trPr>
          <w:trHeight w:val="262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0 000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0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0 000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8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2. Участь міської ради в роботі організацій,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які сприяють розвиткові місцевого самоврядування в Україні</w:t>
      </w:r>
      <w:r>
        <w:rPr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40"/>
        <w:gridCol w:w="1055"/>
        <w:gridCol w:w="1017"/>
        <w:gridCol w:w="1291"/>
        <w:gridCol w:w="2368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з/п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грн./щороку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2.1.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Членство в Асоціаціях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5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01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9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150 000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Сплата членських внесків, участь у заходах, семінарах та навчаннях.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4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363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450000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6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3. Навчання,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обмін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досвідом,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встановлення та підтримка партнерських зв’язків, участь у заходах</w:t>
      </w:r>
      <w:r>
        <w:rPr>
          <w:sz w:val="24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21"/>
        <w:gridCol w:w="1215"/>
        <w:gridCol w:w="1164"/>
        <w:gridCol w:w="1220"/>
        <w:gridCol w:w="2551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Прийом делегацій по обміну досвідом, офіційних прийомів, відрядження депутатів, посадових осіб міської ради, активістів територіальної громади. Залучення експертів, науковців та інших спеціалістів для надання практичної допомоги в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Вивчення та практичне застосування перейнятого досвіду територіальних громад інших міст, (в т.ч. закордонних) в діяльності міської ради та виконавчого комітету.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Організація харчування і проживання офіційних делегацій, запрошених гостей та учасників заходів. Оплата послуг залучених фахівців.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Транспортне забезпечення делегацій, експертів, науковців, учасників заходів та інших запрошених.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1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Менська  міська рада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20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Оплата послуг з транспортного перевезення делегацій, експертів, науковців, учасників заходів та інших запрошених.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75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21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РАЗОМ на 2022-2024 рр.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98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300 000,00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51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both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4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4. Підвищення позитивного образу Менської міської територіальної громади, депутатського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корпусу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міської ради та її органів в Україні та за її межами</w:t>
      </w:r>
      <w:r>
        <w:rPr>
          <w:sz w:val="24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976"/>
        <w:gridCol w:w="992"/>
        <w:gridCol w:w="1134"/>
        <w:gridCol w:w="1147"/>
        <w:gridCol w:w="2964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Фінансування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33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4.1.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друкованої презентаційної та інформаційної продукції (в т.ч. законодавчу літературу), відзнак, атрибутики громади та Державної символіки, аудіо та відео продукції про громаду, органи місцевого самоврядування туристичні можливості краю.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ритуальної продукції (вінків, кошиків, квітів, лампадок та інше) для покладання до пам’ятників, пам’ятних знаків, меморіальних дощок, обелісків, меморіального комплексу, могил визначних людей.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3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47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64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иготовлення та придбання атрибутики громади та Державної символіки, книг, буклетів, відзнак (медалей, дипломів), рамок, календарів, сувенірів, аудіо та відео продукції і поширення їх серед жителів і гостей нашої громади, депутатів. Друк фотографій. Інф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ормування та промоції діяльності міської ради.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Вшанування пам’яті визначних людей, визначних дат з історії Менщини та України.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right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shd w:val="nil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br w:type="page"/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5. Підвищення позитивного образу територіальної громади, депутатського корпусу міської ради та її органів в Україні та за її межами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tbl>
      <w:tblPr>
        <w:tblStyle w:val="723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08"/>
        <w:gridCol w:w="1276"/>
        <w:gridCol w:w="992"/>
        <w:gridCol w:w="1276"/>
        <w:gridCol w:w="3259"/>
      </w:tblGrid>
      <w:tr>
        <w:trPr>
          <w:trHeight w:val="61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Назва заходів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Термін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виконання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Виконавці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Фін-ння всього, грн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Примітка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5.1.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Розширення переліку та покращення якості надання адміністративних послуг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Апарат міської ради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top"/>
            <w:textDirection w:val="lrTb"/>
            <w:noWrap w:val="false"/>
          </w:tcPr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Підготовка персоналу;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програмного забезпечення;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меблів для облаштування робочих місць адміністраторів в ЦНАПі та на віддалених робочих місцях;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комп’ютерної техніки;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Облаштування території біля приміщення ЦНАПу;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Проведення інформаційної компанії;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Встановлення тач-скринів самостійного обслуговування;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Автоматизація процесу обробки звернень від громадян, які надходитимуть як через веб-портал так і при безпосередньому відвідуванні ЦНАПу;</w:t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співфінансування по державним програмам;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  <w:color w:val="000000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робочих станцій з комплектом обладнання, встановленим спеціалізованим програмним забезпеченням та комплексом засобів захисту інформації для видачі паспортів.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5.2.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08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Якісні адміністративні послуги для сільських жителів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Протягом терміну дії програми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6" w:type="dxa"/>
            <w:vAlign w:val="top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 w:beforeAutospacing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1 000 000 щороку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59" w:type="dxa"/>
            <w:vAlign w:val="top"/>
            <w:textDirection w:val="lrTb"/>
            <w:noWrap w:val="false"/>
          </w:tcPr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облаштовування  приміщень для створення віддалених робочих місць (далі ВРМ) спеціалістів та створення філій ЦНАПу в населених пунктах громади (відповідно до рекомендації);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облаштування умов для доступу до послуг ЦНАП маломобільним групам населення;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/>
          </w:p>
          <w:p>
            <w:pPr>
              <w:pStyle w:val="707"/>
              <w:numPr>
                <w:ilvl w:val="0"/>
                <w:numId w:val="8"/>
              </w:numPr>
              <w:ind w:left="0" w:right="0" w:firstLine="0"/>
              <w:jc w:val="both"/>
              <w:spacing w:lineRule="auto" w:line="240" w:after="0" w:afterAutospacing="0" w:before="0" w:beforeAutospacing="0"/>
              <w:tabs>
                <w:tab w:val="left" w:pos="305" w:leader="none"/>
                <w:tab w:val="left" w:pos="720" w:leader="none"/>
              </w:tabs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suppressLineNumbers w:val="0"/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придбання та встановлення обладнання для облаштування електронної черги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, інформаційних кіосків,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сейфів,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камери відеонагляду,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кондиціонерів,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меблів, багатофункціональних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пристроїв, обладнання для технічного оснащення робочих місць адміністраторів, створення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локальної комп'ютерної мережі, придбання модемів, комутаторів, роутерів у приміщення, де створено ВРМ.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spacing w:lineRule="auto" w:line="240" w:after="0" w:afterAutospacing="0" w:before="0" w:beforeAutospacing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  <w:t xml:space="preserve">Секретар ради</w:t>
        <w:tab/>
        <w:t xml:space="preserve">Юрій СТАЛЬНИЧЕНКО</w:t>
      </w:r>
      <w:r>
        <w:rPr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tabs>
        <w:tab w:val="left" w:pos="2693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  <w:i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ab/>
    </w:r>
    <w:r>
      <w:rPr>
        <w:rFonts w:ascii="Times New Roman" w:hAnsi="Times New Roman" w:cs="Times New Roman" w:eastAsia="Times New Roman"/>
        <w:i/>
      </w:rPr>
      <w:t xml:space="preserve">п</w:t>
    </w:r>
    <w:r>
      <w:rPr>
        <w:rFonts w:ascii="Times New Roman" w:hAnsi="Times New Roman" w:cs="Times New Roman" w:eastAsia="Times New Roman"/>
        <w:i/>
      </w:rPr>
      <w:t xml:space="preserve">родовження додатка</w:t>
    </w:r>
    <w:r>
      <w:rPr>
        <w:i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right"/>
      <w:tabs>
        <w:tab w:val="left" w:pos="2835" w:leader="none"/>
        <w:tab w:val="clear" w:pos="7143" w:leader="none"/>
        <w:tab w:val="clear" w:pos="14287" w:leader="none"/>
      </w:tabs>
      <w:rPr>
        <w:rFonts w:ascii="Times New Roman" w:hAnsi="Times New Roman" w:cs="Times New Roman" w:eastAsia="Times New Roman"/>
      </w:rPr>
    </w:pPr>
    <w:r>
      <w:rPr>
        <w:rFonts w:ascii="Times New Roman" w:hAnsi="Times New Roman" w:cs="Times New Roman" w:eastAsia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>
    <w:name w:val="Heading 1"/>
    <w:basedOn w:val="867"/>
    <w:next w:val="867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0">
    <w:name w:val="Heading 1 Char"/>
    <w:basedOn w:val="868"/>
    <w:link w:val="689"/>
    <w:uiPriority w:val="9"/>
    <w:rPr>
      <w:rFonts w:ascii="Arial" w:hAnsi="Arial" w:cs="Arial" w:eastAsia="Arial"/>
      <w:sz w:val="40"/>
      <w:szCs w:val="40"/>
    </w:rPr>
  </w:style>
  <w:style w:type="paragraph" w:styleId="691">
    <w:name w:val="Heading 2"/>
    <w:basedOn w:val="867"/>
    <w:next w:val="867"/>
    <w:link w:val="6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2">
    <w:name w:val="Heading 2 Char"/>
    <w:basedOn w:val="868"/>
    <w:link w:val="691"/>
    <w:uiPriority w:val="9"/>
    <w:rPr>
      <w:rFonts w:ascii="Arial" w:hAnsi="Arial" w:cs="Arial" w:eastAsia="Arial"/>
      <w:sz w:val="34"/>
    </w:rPr>
  </w:style>
  <w:style w:type="paragraph" w:styleId="693">
    <w:name w:val="Heading 3"/>
    <w:basedOn w:val="867"/>
    <w:next w:val="867"/>
    <w:link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4">
    <w:name w:val="Heading 3 Char"/>
    <w:basedOn w:val="868"/>
    <w:link w:val="693"/>
    <w:uiPriority w:val="9"/>
    <w:rPr>
      <w:rFonts w:ascii="Arial" w:hAnsi="Arial" w:cs="Arial" w:eastAsia="Arial"/>
      <w:sz w:val="30"/>
      <w:szCs w:val="30"/>
    </w:rPr>
  </w:style>
  <w:style w:type="paragraph" w:styleId="695">
    <w:name w:val="Heading 4"/>
    <w:basedOn w:val="867"/>
    <w:next w:val="867"/>
    <w:link w:val="6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6">
    <w:name w:val="Heading 4 Char"/>
    <w:basedOn w:val="868"/>
    <w:link w:val="695"/>
    <w:uiPriority w:val="9"/>
    <w:rPr>
      <w:rFonts w:ascii="Arial" w:hAnsi="Arial" w:cs="Arial" w:eastAsia="Arial"/>
      <w:b/>
      <w:bCs/>
      <w:sz w:val="26"/>
      <w:szCs w:val="26"/>
    </w:rPr>
  </w:style>
  <w:style w:type="paragraph" w:styleId="697">
    <w:name w:val="Heading 5"/>
    <w:basedOn w:val="867"/>
    <w:next w:val="867"/>
    <w:link w:val="6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8">
    <w:name w:val="Heading 5 Char"/>
    <w:basedOn w:val="868"/>
    <w:link w:val="697"/>
    <w:uiPriority w:val="9"/>
    <w:rPr>
      <w:rFonts w:ascii="Arial" w:hAnsi="Arial" w:cs="Arial" w:eastAsia="Arial"/>
      <w:b/>
      <w:bCs/>
      <w:sz w:val="24"/>
      <w:szCs w:val="24"/>
    </w:rPr>
  </w:style>
  <w:style w:type="paragraph" w:styleId="699">
    <w:name w:val="Heading 6"/>
    <w:basedOn w:val="867"/>
    <w:next w:val="867"/>
    <w:link w:val="7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0">
    <w:name w:val="Heading 6 Char"/>
    <w:basedOn w:val="868"/>
    <w:link w:val="699"/>
    <w:uiPriority w:val="9"/>
    <w:rPr>
      <w:rFonts w:ascii="Arial" w:hAnsi="Arial" w:cs="Arial" w:eastAsia="Arial"/>
      <w:b/>
      <w:bCs/>
      <w:sz w:val="22"/>
      <w:szCs w:val="22"/>
    </w:rPr>
  </w:style>
  <w:style w:type="paragraph" w:styleId="701">
    <w:name w:val="Heading 7"/>
    <w:basedOn w:val="867"/>
    <w:next w:val="867"/>
    <w:link w:val="7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2">
    <w:name w:val="Heading 7 Char"/>
    <w:basedOn w:val="868"/>
    <w:link w:val="7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3">
    <w:name w:val="Heading 8"/>
    <w:basedOn w:val="867"/>
    <w:next w:val="867"/>
    <w:link w:val="7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4">
    <w:name w:val="Heading 8 Char"/>
    <w:basedOn w:val="868"/>
    <w:link w:val="703"/>
    <w:uiPriority w:val="9"/>
    <w:rPr>
      <w:rFonts w:ascii="Arial" w:hAnsi="Arial" w:cs="Arial" w:eastAsia="Arial"/>
      <w:i/>
      <w:iCs/>
      <w:sz w:val="22"/>
      <w:szCs w:val="22"/>
    </w:rPr>
  </w:style>
  <w:style w:type="paragraph" w:styleId="705">
    <w:name w:val="Heading 9"/>
    <w:basedOn w:val="867"/>
    <w:next w:val="867"/>
    <w:link w:val="7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6">
    <w:name w:val="Heading 9 Char"/>
    <w:basedOn w:val="868"/>
    <w:link w:val="705"/>
    <w:uiPriority w:val="9"/>
    <w:rPr>
      <w:rFonts w:ascii="Arial" w:hAnsi="Arial" w:cs="Arial" w:eastAsia="Arial"/>
      <w:i/>
      <w:iCs/>
      <w:sz w:val="21"/>
      <w:szCs w:val="21"/>
    </w:rPr>
  </w:style>
  <w:style w:type="paragraph" w:styleId="707">
    <w:name w:val="List Paragraph"/>
    <w:basedOn w:val="867"/>
    <w:qFormat/>
    <w:uiPriority w:val="34"/>
    <w:pPr>
      <w:contextualSpacing w:val="true"/>
      <w:ind w:left="720"/>
    </w:pPr>
  </w:style>
  <w:style w:type="paragraph" w:styleId="708">
    <w:name w:val="No Spacing"/>
    <w:qFormat/>
    <w:uiPriority w:val="1"/>
    <w:pPr>
      <w:spacing w:lineRule="auto" w:line="240" w:after="0" w:before="0"/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8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8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8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8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20</cp:revision>
  <dcterms:created xsi:type="dcterms:W3CDTF">2019-03-29T20:09:00Z</dcterms:created>
  <dcterms:modified xsi:type="dcterms:W3CDTF">2021-12-10T18:08:22Z</dcterms:modified>
</cp:coreProperties>
</file>