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>
        <w:rPr>
          <w:sz w:val="28"/>
        </w:rPr>
      </w:r>
      <w:r/>
    </w:p>
    <w:p>
      <w:pPr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15 сесії Менської міської ра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ди 8 скликання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09 грудня 2021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797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5669" w:right="0" w:firstLine="0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jc w:val="center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ПАСПОРТ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1038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Назва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Програма розвитку міжнародного співробітництва та партнерства Менської міської територіальної громади на 2022-2024 роки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pStyle w:val="906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Дата, номер і назва документа про розробленні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905"/>
                <w:rFonts w:ascii="Times New Roman" w:hAnsi="Times New Roman" w:cs="Times New Roman" w:eastAsia="Times New Roman"/>
                <w:bCs/>
                <w:sz w:val="28"/>
                <w:szCs w:val="28"/>
                <w:shd w:val="clear" w:color="FFFFFF" w:fill="FFFFFF"/>
              </w:rPr>
              <w:t xml:space="preserve">21.05.1997 №280/97-ВР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Розробники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Співрозробники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Відділ економічного розвитку та інвестицій Менської міської ради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Відділ освіти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Учасники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Відповідальний виконавець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spacing w:lineRule="auto" w:line="240" w:after="0" w:afterAutospacing="0"/>
            </w:pPr>
            <w:r/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Строк виконання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2022-2024 роки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Обсяги та джерела фінансування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 р.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51"/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2023 р.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firstLine="551"/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2024 р.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 гривень з бюджету Менської міської  територіальної громади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53"/>
              <w:numPr>
                <w:ilvl w:val="0"/>
                <w:numId w:val="10"/>
              </w:num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200,00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53"/>
              <w:numPr>
                <w:ilvl w:val="0"/>
                <w:numId w:val="10"/>
              </w:num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53"/>
              <w:numPr>
                <w:ilvl w:val="0"/>
                <w:numId w:val="10"/>
              </w:num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Контроль за виконанням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Секретар ради, заступники міського голови відповідно до розподілу функціональних обов’язків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lineRule="auto" w:line="240" w:after="0" w:afterAutospacing="0"/>
        <w:shd w:val="nil" w:color="00000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spacing w:lineRule="auto" w:line="240" w:after="0" w:afterAutospacing="0"/>
        <w:shd w:val="nil" w:color="auto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Програма розвитку міжнародного співробітництва та партнерства Менської міської тери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торіальної громади на 2022-2024 роки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розвитку міжнародного співробітництва та партнерства Менської міської територіальної громади на 2022-2024 роки (далі – Програма) розроблена відповідно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Конституції України та Закону України „Про місцеве самоврядування в Україні” 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Вступ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Малі міста займають особливе місце в історичному розвитку держави, в яких розвивались національна культура та духовність. Проте спад виробництва, економічна дестабілізація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суттєво послабили соціально-економічну та фінансову бази малих міст.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налагодження взаємовигідних ділових контактів, а також розвитку зв’язків Менської міської територіальної громади (далі- громада) з містами, громадами та регіонами інши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країн, для більш повного розкриття його економічного, науково-технічного та культурного потенціалу в контексті євроінтеграції держави, вважається за доцільне розвивати побратимські відносини Менської міської територіальної громади з іноземними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містами/громадами та Посольствами, міжнародними Фондами, Асоціаціями, іншими міжнародними структурами.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 здійснює зовнішні відносини в межах повноважень, передбачених Конституцією та законами України, відповідно зовнішньополітичного курсу та зовнішньоекономічної політики України.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Визначення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проблем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, на розв’язання яких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спрямована Програма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Прийняття цієї Програми обумовлено необхідністю створення цілісної ефективної системи співробітництва з іноземними регіонами, яка відкриває нові перспективи для послідовного налагодження дружніх відносин та забезпечення належного, цілес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рямованого та стабільного виконання регіональної складової загальнонаціонального курсу України на євроінтеграцію, а також формування позитивного міжнародного іміджу міста, який має забезпечити створення у світі сприятливого інформаційного простору для полі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тичного та соціально-економічного розвитку громади.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Позитивне сприйняття Менської міської територіальної громади та її населених пунктів  іноземними регіонами та містами/громадами є фактором, який безпосередньо впливає на розвиток нашої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і сприяє задоволенню його зовнішньополітичних та зовнішньоекономічних потреб, розв'язанню внутрішніх соціально-економічних проблем. Формування позитивного міжнародного іміджу громади є необхідним для забезпечення захисту його стратегічних інтересів, дотр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имання стратегічного курсу на євроінтеграцію, успішної конкурентної боротьби на міжнародних ринках.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Використання міжнародного, міжрегіонального співробітництва є найдієвішими інструментами соціально-економічного розвитку громади, а також вирішення актуальни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проблем.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подолання причин, що стримують подальшу інтенсифікацію міжнародної співпраці, процес формування позитивного міжнародного іміджу Менської міської територіальної громади та населених пунктів Менської міської територіально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громади, для їх розв’язання необхідне розроблення та прийняття відповідної Програми. Прийняття цієї Програми спрямовано на:</w:t>
      </w:r>
      <w:r/>
    </w:p>
    <w:p>
      <w:pPr>
        <w:numPr>
          <w:ilvl w:val="0"/>
          <w:numId w:val="8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формування позитивного міжнародного іміджу Менської міської територіальної громади та населених пунктів Менської місько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територіальної громади, яке має забезпечити створення відповідного інформаційного простору, сприятливого для підвищення ефективності співробітництва та зростання надходження іноземних інвестицій в економіку громади та регіону;</w:t>
      </w:r>
      <w:r/>
    </w:p>
    <w:p>
      <w:pPr>
        <w:numPr>
          <w:ilvl w:val="0"/>
          <w:numId w:val="8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роз’яснення перс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пектив європейської інтеграції України та її механізмів, формування широкої громадської підтримки курсу України на інтеграцію до ЄС, економічних та соціальних реформ, здійснюваних в рамках реалізації євроінтеграційної політики.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Мета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Програми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Метою Програми є обмін позитивним досвідом здійснення місцевого самоврядування, громадської та підприємницької діяльності, вивчення історії, національно-культурної самобутності і економічної особливостей країн, регіонів, використання інтелектуального, діло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вого та духовного потенціалу, зміцнення зв’язків між громадами-партнерами та іншими міжнародними партнерськими структурами.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Програму складено з метою відродження практики співпраці Менської міської ради з громадами-партнерами, або міжнародними організаціями, фондами, шляхом активізації роботи по пошуку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аких партнерів, підписання відповідних Договорів про налагодження партнерських контактів та співпраці (далі – Договір) та з метою налагодження нових контактів і поглиблення взаємовідносин.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Шляхи і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способи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розв’язання проблеми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має стати дієвим інст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рументом реалізації державної та місцевої політики у сфері розвитку європейської інтеграції, покращення міжнародного іміджу, поглиблення співробітництва з іноземними громадами-партнерами та налагодження нових взаємно корисних зв’язків.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Мети Програми перед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бачається досягти шляхом активізації міжнародного співробітництва у галузях економіки, інвестиційної діяльності, освіти, культури, туризму, інших сферах суспільного життя, завдяки реалізації заходів Програми та проведенню виваженої місцевої зовнішньої полі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тики, а також участі керівництва громади, підпорядкованих відділів, підприємств, установ, організацій у різноманітних міжнародних виставках, конференціях, семінарах, проведення в місті Мена та населених пунктах громади аналогічних заходів, обмін робочими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офіційними делегаціями, випуску інформаційних, презентаційних матеріалів про громаду, налагодження співпраці з іноземними партнерами тощо.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Покращення інформування населення про міжнародну діяльність Менської міської територіальної громади пла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нується здійснювати за допомогою публікацій на офіційному сайті міської ради та співпраці з місцевими ЗМІ, встановлення інформативних стендів на території населених пунктів громади та у культурно-освітніх закладах, робота з молоддю. 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Основні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завдання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та на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прямки діяльності Програми: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обмін офіційними делегаціями;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реа</w:t>
      </w:r>
      <w:r>
        <w:rPr>
          <w:rFonts w:ascii="Times New Roman" w:hAnsi="Times New Roman" w:cs="Times New Roman" w:eastAsia="Times New Roman"/>
          <w:sz w:val="28"/>
        </w:rPr>
        <w:t xml:space="preserve">лізація спільних проектів;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зміцнення співпраці між органами місцевого самоврядування;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залучення іноземних інвестицій, новітніх технологій та використання прогресивного іноземного управлінського досвіду;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налагодження контактів між громадськими організаціями, активізація їх співпраці;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формування позитивного міжнародного іміджу про Україну та </w:t>
      </w:r>
      <w:r>
        <w:rPr>
          <w:rFonts w:ascii="Times New Roman" w:hAnsi="Times New Roman" w:cs="Times New Roman" w:eastAsia="Times New Roman"/>
          <w:sz w:val="28"/>
        </w:rPr>
        <w:t xml:space="preserve">про нашу громаду;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створення спільних програм і проектів у сфері культури, освіти, підприємництва, житлово-комунального господарства, туризму, охорони здоров’я та спорту;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налагодження і розширення безпосередніх контактів між мешканцями;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обмін учнівськими та</w:t>
      </w:r>
      <w:r>
        <w:rPr>
          <w:rFonts w:ascii="Times New Roman" w:hAnsi="Times New Roman" w:cs="Times New Roman" w:eastAsia="Times New Roman"/>
          <w:sz w:val="28"/>
        </w:rPr>
        <w:t xml:space="preserve"> молодіжними делегаціями;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проведення культурно-мистецьких обмінів;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інтегрування учнів у партнерські школи, позашкільні організації та сім’ї;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покращення знань іноземних мов;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обмін досвідом у боротьбі з соціальними проблемами (наркоманія, СНІД, алкоголізм то</w:t>
      </w:r>
      <w:r>
        <w:rPr>
          <w:rFonts w:ascii="Times New Roman" w:hAnsi="Times New Roman" w:cs="Times New Roman" w:eastAsia="Times New Roman"/>
          <w:sz w:val="28"/>
        </w:rPr>
        <w:t xml:space="preserve">що);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спільне ство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рення та реалізація проєктів співробітництва.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Обсяги та 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джерела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фінансування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реалізації Програми здійснюватиметься за рахунок коштів бюджету громади в межах наявного фінансового ресурсу, а також з інших джерел, не заборонених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законодавством.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Програмою кошти бюджету громади спрямовуються в першу чергу на: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придбання/виготовлення сувенірної продукції та презентаційних матеріалів, які використовуватимуться при офіційних зустрічах;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придбання/виготовлення державних символік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символіки громад-партнерів;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транспортні витрати, необхідні для зустрічі та супроводу офіційних делегацій;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транспортних витрат, пов’язаних з візитом офіційної делегації Менської міської територіальної громади до громад-партнерів;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матеріа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ли для проведення міжнародних зустрічей, семінарів, презентацій, конференцій, культурно-мистецьких, спортивних заходів тощо;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організація та проведення в населених пунктах Менської громади культурно-мистецьких, спортивних заходів, міжнародних зустрічей, сем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інарів, презентацій, конференцій інших масових заходів за участі офіційних делегацій громад-партнерів або інших міжнародних партнерських організацій;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послуг проживання та харчування для представників офіційних делегацій;</w:t>
      </w:r>
      <w:r/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4" w:leader="none"/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інших послуг пов’язан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з перебуванням делегацій з іноземних містами/громадами та візитами офіційної делегації Менської міської територіальної громади до громад-партнерів.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Обсяг фінансування заходів програми на 2022-2024 роки складає по 200 тис.грн. щорічно.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Термін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виконання Програми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діє протягом 2022-2024 року.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 визначених Програмою завдань здійснюється шляхом послідовної реалізації впродовж зазначеного періоду заходів, направлених на розвиток та поглиблення євроінтеграційного та міжрегіонального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півробітництва з громадами-партнерами, міжнародними організаціям та фондами, а також скоординованої та професійної інформаційно-роз’яснювальної роботи, спрямованої на формування позитивного міжнародного іміджу Менської міської територіальної гро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мади.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Внесення змін до плану заходів Програми та термінів їх виконання здійснюватиметься за необхідністю.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  <w:t xml:space="preserve">Очікувані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результати: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Тісні стосунки з представниками іноземних держав сприятимуть розвитку взаємовигідного ділового партнерства, а саме виконання Програми дасть змогу: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продовжити роботу з подальшого розвитку і поглиблення зв’язків з партнерами на довгостроковій основі;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налагод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ити нові контакти і поглибити вже встановленні взаємовідносини;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вивчати досвід діяльності і розвитку місцевого самоврядування та житлово-комунального господарства з метою впровадження кращих ідей та уникнення помилок при прийнятті певних рішень;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вивчати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свід роботи колег з громад-партнерів та впроваджувати цікаві прогресивні ідеї в нашій громаді;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рекламувати інвестиційну та туристичну привабливість нашої громади;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пропагувати національну культуру та українські народні звичаї;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створювати оптимальні умови, необхідні для розвитку співпраці у всіх сферах життя громад-партнерів;</w:t>
      </w:r>
      <w:r/>
    </w:p>
    <w:p>
      <w:pPr>
        <w:numPr>
          <w:ilvl w:val="0"/>
          <w:numId w:val="5"/>
        </w:numPr>
        <w:ind w:left="0" w:firstLine="0"/>
        <w:jc w:val="both"/>
        <w:spacing w:lineRule="auto" w:line="240" w:after="0" w:afterAutospacing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збільшити кількість іноземців, зокрема молоді, які відвідуватимуть нашу громаду для ознайомлення з життям її громадян і досягненнями;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Молодіжний обмін делег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аціями стимулюватиме бажання учнівської молоді до більш глибокого вивчення іноземних мов, історії держав та громад, сприятиме знайомству і налагодженню безпосередніх дружніх стосунків між молоддю громад-партнерів. Молодь матиме можливість презентувати нашу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державу у Європі і знайомитися з культурою та історичною спадщиною інших держав, що сприятиме бажанню більше пізнавати і знати про інші країни, громади, міста, села.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Секретар  ради</w:t>
        <w:tab/>
        <w:t xml:space="preserve">Юрій СТАЛЬНИЧЕНКО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2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>
    <w:name w:val="Caption Char"/>
    <w:basedOn w:val="703"/>
    <w:link w:val="865"/>
    <w:uiPriority w:val="99"/>
  </w:style>
  <w:style w:type="table" w:styleId="705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4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5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6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7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8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9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6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8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9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0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1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2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3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4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6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7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8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9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0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1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2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0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811">
    <w:name w:val="endnote text"/>
    <w:basedOn w:val="815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5"/>
    <w:uiPriority w:val="99"/>
    <w:semiHidden/>
    <w:unhideWhenUsed/>
    <w:rPr>
      <w:vertAlign w:val="superscript"/>
    </w:rPr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paragraph" w:styleId="816">
    <w:name w:val="Heading 1"/>
    <w:basedOn w:val="815"/>
    <w:next w:val="815"/>
    <w:link w:val="8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17">
    <w:name w:val="Heading 2"/>
    <w:basedOn w:val="815"/>
    <w:next w:val="815"/>
    <w:link w:val="8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18">
    <w:name w:val="Heading 3"/>
    <w:basedOn w:val="815"/>
    <w:next w:val="815"/>
    <w:link w:val="8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19">
    <w:name w:val="Heading 4"/>
    <w:basedOn w:val="815"/>
    <w:next w:val="815"/>
    <w:link w:val="8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20">
    <w:name w:val="Heading 5"/>
    <w:basedOn w:val="815"/>
    <w:next w:val="815"/>
    <w:link w:val="8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21">
    <w:name w:val="Heading 6"/>
    <w:basedOn w:val="815"/>
    <w:next w:val="815"/>
    <w:link w:val="8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22">
    <w:name w:val="Heading 7"/>
    <w:basedOn w:val="815"/>
    <w:next w:val="815"/>
    <w:link w:val="8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23">
    <w:name w:val="Heading 8"/>
    <w:basedOn w:val="815"/>
    <w:next w:val="815"/>
    <w:link w:val="8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24">
    <w:name w:val="Heading 9"/>
    <w:basedOn w:val="815"/>
    <w:next w:val="815"/>
    <w:link w:val="8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character" w:styleId="828" w:customStyle="1">
    <w:name w:val="Heading 1 Char"/>
    <w:basedOn w:val="825"/>
    <w:uiPriority w:val="9"/>
    <w:rPr>
      <w:rFonts w:ascii="Arial" w:hAnsi="Arial" w:cs="Arial" w:eastAsia="Arial"/>
      <w:sz w:val="40"/>
      <w:szCs w:val="40"/>
    </w:rPr>
  </w:style>
  <w:style w:type="character" w:styleId="829" w:customStyle="1">
    <w:name w:val="Heading 2 Char"/>
    <w:basedOn w:val="825"/>
    <w:uiPriority w:val="9"/>
    <w:rPr>
      <w:rFonts w:ascii="Arial" w:hAnsi="Arial" w:cs="Arial" w:eastAsia="Arial"/>
      <w:sz w:val="34"/>
    </w:rPr>
  </w:style>
  <w:style w:type="character" w:styleId="830" w:customStyle="1">
    <w:name w:val="Heading 3 Char"/>
    <w:basedOn w:val="825"/>
    <w:uiPriority w:val="9"/>
    <w:rPr>
      <w:rFonts w:ascii="Arial" w:hAnsi="Arial" w:cs="Arial" w:eastAsia="Arial"/>
      <w:sz w:val="30"/>
      <w:szCs w:val="30"/>
    </w:rPr>
  </w:style>
  <w:style w:type="character" w:styleId="831" w:customStyle="1">
    <w:name w:val="Heading 4 Char"/>
    <w:basedOn w:val="825"/>
    <w:uiPriority w:val="9"/>
    <w:rPr>
      <w:rFonts w:ascii="Arial" w:hAnsi="Arial" w:cs="Arial" w:eastAsia="Arial"/>
      <w:b/>
      <w:bCs/>
      <w:sz w:val="26"/>
      <w:szCs w:val="26"/>
    </w:rPr>
  </w:style>
  <w:style w:type="character" w:styleId="832" w:customStyle="1">
    <w:name w:val="Heading 5 Char"/>
    <w:basedOn w:val="825"/>
    <w:uiPriority w:val="9"/>
    <w:rPr>
      <w:rFonts w:ascii="Arial" w:hAnsi="Arial" w:cs="Arial" w:eastAsia="Arial"/>
      <w:b/>
      <w:bCs/>
      <w:sz w:val="24"/>
      <w:szCs w:val="24"/>
    </w:rPr>
  </w:style>
  <w:style w:type="character" w:styleId="833" w:customStyle="1">
    <w:name w:val="Heading 6 Char"/>
    <w:basedOn w:val="825"/>
    <w:uiPriority w:val="9"/>
    <w:rPr>
      <w:rFonts w:ascii="Arial" w:hAnsi="Arial" w:cs="Arial" w:eastAsia="Arial"/>
      <w:b/>
      <w:bCs/>
      <w:sz w:val="22"/>
      <w:szCs w:val="22"/>
    </w:rPr>
  </w:style>
  <w:style w:type="character" w:styleId="834" w:customStyle="1">
    <w:name w:val="Heading 7 Char"/>
    <w:basedOn w:val="8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5" w:customStyle="1">
    <w:name w:val="Heading 8 Char"/>
    <w:basedOn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836" w:customStyle="1">
    <w:name w:val="Heading 9 Char"/>
    <w:basedOn w:val="825"/>
    <w:uiPriority w:val="9"/>
    <w:rPr>
      <w:rFonts w:ascii="Arial" w:hAnsi="Arial" w:cs="Arial" w:eastAsia="Arial"/>
      <w:i/>
      <w:iCs/>
      <w:sz w:val="21"/>
      <w:szCs w:val="21"/>
    </w:rPr>
  </w:style>
  <w:style w:type="character" w:styleId="837" w:customStyle="1">
    <w:name w:val="Title Char"/>
    <w:basedOn w:val="825"/>
    <w:uiPriority w:val="10"/>
    <w:rPr>
      <w:sz w:val="48"/>
      <w:szCs w:val="48"/>
    </w:rPr>
  </w:style>
  <w:style w:type="character" w:styleId="838" w:customStyle="1">
    <w:name w:val="Subtitle Char"/>
    <w:basedOn w:val="825"/>
    <w:uiPriority w:val="11"/>
    <w:rPr>
      <w:sz w:val="24"/>
      <w:szCs w:val="24"/>
    </w:rPr>
  </w:style>
  <w:style w:type="character" w:styleId="839" w:customStyle="1">
    <w:name w:val="Quote Char"/>
    <w:uiPriority w:val="29"/>
    <w:rPr>
      <w:i/>
    </w:rPr>
  </w:style>
  <w:style w:type="character" w:styleId="840" w:customStyle="1">
    <w:name w:val="Intense Quote Char"/>
    <w:uiPriority w:val="30"/>
    <w:rPr>
      <w:i/>
    </w:rPr>
  </w:style>
  <w:style w:type="character" w:styleId="841" w:customStyle="1">
    <w:name w:val="Header Char"/>
    <w:basedOn w:val="825"/>
    <w:uiPriority w:val="99"/>
  </w:style>
  <w:style w:type="character" w:styleId="842" w:customStyle="1">
    <w:name w:val="Footer Char"/>
    <w:basedOn w:val="825"/>
    <w:uiPriority w:val="99"/>
  </w:style>
  <w:style w:type="character" w:styleId="843" w:customStyle="1">
    <w:name w:val="Footnote Text Char"/>
    <w:uiPriority w:val="99"/>
    <w:rPr>
      <w:sz w:val="18"/>
    </w:rPr>
  </w:style>
  <w:style w:type="character" w:styleId="844" w:customStyle="1">
    <w:name w:val="Заголовок 1 Знак"/>
    <w:basedOn w:val="825"/>
    <w:link w:val="816"/>
    <w:uiPriority w:val="9"/>
    <w:rPr>
      <w:rFonts w:ascii="Arial" w:hAnsi="Arial" w:cs="Arial" w:eastAsia="Arial"/>
      <w:sz w:val="40"/>
      <w:szCs w:val="40"/>
    </w:rPr>
  </w:style>
  <w:style w:type="character" w:styleId="845" w:customStyle="1">
    <w:name w:val="Заголовок 2 Знак"/>
    <w:basedOn w:val="825"/>
    <w:link w:val="817"/>
    <w:uiPriority w:val="9"/>
    <w:rPr>
      <w:rFonts w:ascii="Arial" w:hAnsi="Arial" w:cs="Arial" w:eastAsia="Arial"/>
      <w:sz w:val="34"/>
    </w:rPr>
  </w:style>
  <w:style w:type="character" w:styleId="846" w:customStyle="1">
    <w:name w:val="Заголовок 3 Знак"/>
    <w:basedOn w:val="825"/>
    <w:link w:val="818"/>
    <w:uiPriority w:val="9"/>
    <w:rPr>
      <w:rFonts w:ascii="Arial" w:hAnsi="Arial" w:cs="Arial" w:eastAsia="Arial"/>
      <w:sz w:val="30"/>
      <w:szCs w:val="30"/>
    </w:rPr>
  </w:style>
  <w:style w:type="character" w:styleId="847" w:customStyle="1">
    <w:name w:val="Заголовок 4 Знак"/>
    <w:basedOn w:val="825"/>
    <w:link w:val="819"/>
    <w:uiPriority w:val="9"/>
    <w:rPr>
      <w:rFonts w:ascii="Arial" w:hAnsi="Arial" w:cs="Arial" w:eastAsia="Arial"/>
      <w:b/>
      <w:bCs/>
      <w:sz w:val="26"/>
      <w:szCs w:val="26"/>
    </w:rPr>
  </w:style>
  <w:style w:type="character" w:styleId="848" w:customStyle="1">
    <w:name w:val="Заголовок 5 Знак"/>
    <w:basedOn w:val="825"/>
    <w:link w:val="820"/>
    <w:uiPriority w:val="9"/>
    <w:rPr>
      <w:rFonts w:ascii="Arial" w:hAnsi="Arial" w:cs="Arial" w:eastAsia="Arial"/>
      <w:b/>
      <w:bCs/>
      <w:sz w:val="24"/>
      <w:szCs w:val="24"/>
    </w:rPr>
  </w:style>
  <w:style w:type="character" w:styleId="849" w:customStyle="1">
    <w:name w:val="Заголовок 6 Знак"/>
    <w:basedOn w:val="825"/>
    <w:link w:val="821"/>
    <w:uiPriority w:val="9"/>
    <w:rPr>
      <w:rFonts w:ascii="Arial" w:hAnsi="Arial" w:cs="Arial" w:eastAsia="Arial"/>
      <w:b/>
      <w:bCs/>
      <w:sz w:val="22"/>
      <w:szCs w:val="22"/>
    </w:rPr>
  </w:style>
  <w:style w:type="character" w:styleId="850" w:customStyle="1">
    <w:name w:val="Заголовок 7 Знак"/>
    <w:basedOn w:val="825"/>
    <w:link w:val="8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1" w:customStyle="1">
    <w:name w:val="Заголовок 8 Знак"/>
    <w:basedOn w:val="825"/>
    <w:link w:val="823"/>
    <w:uiPriority w:val="9"/>
    <w:rPr>
      <w:rFonts w:ascii="Arial" w:hAnsi="Arial" w:cs="Arial" w:eastAsia="Arial"/>
      <w:i/>
      <w:iCs/>
      <w:sz w:val="22"/>
      <w:szCs w:val="22"/>
    </w:rPr>
  </w:style>
  <w:style w:type="character" w:styleId="852" w:customStyle="1">
    <w:name w:val="Заголовок 9 Знак"/>
    <w:basedOn w:val="825"/>
    <w:link w:val="824"/>
    <w:uiPriority w:val="9"/>
    <w:rPr>
      <w:rFonts w:ascii="Arial" w:hAnsi="Arial" w:cs="Arial" w:eastAsia="Arial"/>
      <w:i/>
      <w:iCs/>
      <w:sz w:val="21"/>
      <w:szCs w:val="21"/>
    </w:rPr>
  </w:style>
  <w:style w:type="paragraph" w:styleId="853">
    <w:name w:val="List Paragraph"/>
    <w:basedOn w:val="815"/>
    <w:qFormat/>
    <w:uiPriority w:val="34"/>
    <w:pPr>
      <w:contextualSpacing w:val="true"/>
      <w:ind w:left="720"/>
    </w:pPr>
  </w:style>
  <w:style w:type="paragraph" w:styleId="854">
    <w:name w:val="No Spacing"/>
    <w:qFormat/>
    <w:uiPriority w:val="1"/>
    <w:pPr>
      <w:spacing w:lineRule="auto" w:line="240" w:after="0"/>
    </w:pPr>
  </w:style>
  <w:style w:type="paragraph" w:styleId="855">
    <w:name w:val="Title"/>
    <w:basedOn w:val="815"/>
    <w:next w:val="815"/>
    <w:link w:val="85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56" w:customStyle="1">
    <w:name w:val="Назва Знак"/>
    <w:basedOn w:val="825"/>
    <w:link w:val="855"/>
    <w:uiPriority w:val="10"/>
    <w:rPr>
      <w:sz w:val="48"/>
      <w:szCs w:val="48"/>
    </w:rPr>
  </w:style>
  <w:style w:type="paragraph" w:styleId="857">
    <w:name w:val="Subtitle"/>
    <w:basedOn w:val="815"/>
    <w:next w:val="815"/>
    <w:link w:val="858"/>
    <w:qFormat/>
    <w:uiPriority w:val="11"/>
    <w:rPr>
      <w:sz w:val="24"/>
      <w:szCs w:val="24"/>
    </w:rPr>
    <w:pPr>
      <w:spacing w:before="200"/>
    </w:pPr>
  </w:style>
  <w:style w:type="character" w:styleId="858" w:customStyle="1">
    <w:name w:val="Підзаголовок Знак"/>
    <w:basedOn w:val="825"/>
    <w:link w:val="857"/>
    <w:uiPriority w:val="11"/>
    <w:rPr>
      <w:sz w:val="24"/>
      <w:szCs w:val="24"/>
    </w:rPr>
  </w:style>
  <w:style w:type="paragraph" w:styleId="859">
    <w:name w:val="Quote"/>
    <w:basedOn w:val="815"/>
    <w:next w:val="815"/>
    <w:link w:val="860"/>
    <w:qFormat/>
    <w:uiPriority w:val="29"/>
    <w:rPr>
      <w:i/>
    </w:rPr>
    <w:pPr>
      <w:ind w:left="720" w:right="720"/>
    </w:pPr>
  </w:style>
  <w:style w:type="character" w:styleId="860" w:customStyle="1">
    <w:name w:val="Цитата Знак"/>
    <w:link w:val="859"/>
    <w:uiPriority w:val="29"/>
    <w:rPr>
      <w:i/>
    </w:rPr>
  </w:style>
  <w:style w:type="paragraph" w:styleId="861">
    <w:name w:val="Intense Quote"/>
    <w:basedOn w:val="815"/>
    <w:next w:val="815"/>
    <w:link w:val="8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2" w:customStyle="1">
    <w:name w:val="Насичена цитата Знак"/>
    <w:link w:val="861"/>
    <w:uiPriority w:val="30"/>
    <w:rPr>
      <w:i/>
    </w:rPr>
  </w:style>
  <w:style w:type="paragraph" w:styleId="863">
    <w:name w:val="Header"/>
    <w:basedOn w:val="815"/>
    <w:link w:val="8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4" w:customStyle="1">
    <w:name w:val="Верхній колонтитул Знак"/>
    <w:basedOn w:val="825"/>
    <w:link w:val="863"/>
    <w:uiPriority w:val="99"/>
  </w:style>
  <w:style w:type="paragraph" w:styleId="865">
    <w:name w:val="Footer"/>
    <w:basedOn w:val="815"/>
    <w:link w:val="8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6" w:customStyle="1">
    <w:name w:val="Нижній колонтитул Знак"/>
    <w:basedOn w:val="825"/>
    <w:link w:val="865"/>
    <w:uiPriority w:val="99"/>
  </w:style>
  <w:style w:type="table" w:styleId="867">
    <w:name w:val="Table Grid"/>
    <w:basedOn w:val="82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68" w:customStyle="1">
    <w:name w:val="Lined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0" w:customStyle="1">
    <w:name w:val="Lined - Accent 2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1" w:customStyle="1">
    <w:name w:val="Lined - Accent 3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2" w:customStyle="1">
    <w:name w:val="Lined - Accent 4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3" w:customStyle="1">
    <w:name w:val="Lined - Accent 5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Lined - Accent 6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5" w:customStyle="1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6" w:customStyle="1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7" w:customStyle="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8" w:customStyle="1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9" w:customStyle="1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0" w:customStyle="1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1" w:customStyle="1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2" w:customStyle="1">
    <w:name w:val="Bordered &amp; Lined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Bordered &amp; Lined - Accent 1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4" w:customStyle="1">
    <w:name w:val="Bordered &amp; Lined - Accent 2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5" w:customStyle="1">
    <w:name w:val="Bordered &amp; Lined - Accent 3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6" w:customStyle="1">
    <w:name w:val="Bordered &amp; Lined - Accent 4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7" w:customStyle="1">
    <w:name w:val="Bordered &amp; Lined - Accent 5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Bordered &amp; Lined - Accent 6"/>
    <w:basedOn w:val="8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basedOn w:val="815"/>
    <w:link w:val="891"/>
    <w:uiPriority w:val="99"/>
    <w:semiHidden/>
    <w:unhideWhenUsed/>
    <w:rPr>
      <w:sz w:val="18"/>
    </w:rPr>
    <w:pPr>
      <w:spacing w:lineRule="auto" w:line="240" w:after="40"/>
    </w:pPr>
  </w:style>
  <w:style w:type="character" w:styleId="891" w:customStyle="1">
    <w:name w:val="Текст виноски Знак"/>
    <w:link w:val="890"/>
    <w:uiPriority w:val="99"/>
    <w:rPr>
      <w:sz w:val="18"/>
    </w:rPr>
  </w:style>
  <w:style w:type="character" w:styleId="892">
    <w:name w:val="footnote reference"/>
    <w:basedOn w:val="825"/>
    <w:uiPriority w:val="99"/>
    <w:unhideWhenUsed/>
    <w:rPr>
      <w:vertAlign w:val="superscript"/>
    </w:rPr>
  </w:style>
  <w:style w:type="paragraph" w:styleId="893">
    <w:name w:val="toc 1"/>
    <w:basedOn w:val="815"/>
    <w:next w:val="815"/>
    <w:uiPriority w:val="39"/>
    <w:unhideWhenUsed/>
    <w:pPr>
      <w:spacing w:after="57"/>
    </w:pPr>
  </w:style>
  <w:style w:type="paragraph" w:styleId="894">
    <w:name w:val="toc 2"/>
    <w:basedOn w:val="815"/>
    <w:next w:val="815"/>
    <w:uiPriority w:val="39"/>
    <w:unhideWhenUsed/>
    <w:pPr>
      <w:ind w:left="283"/>
      <w:spacing w:after="57"/>
    </w:pPr>
  </w:style>
  <w:style w:type="paragraph" w:styleId="895">
    <w:name w:val="toc 3"/>
    <w:basedOn w:val="815"/>
    <w:next w:val="815"/>
    <w:uiPriority w:val="39"/>
    <w:unhideWhenUsed/>
    <w:pPr>
      <w:ind w:left="567"/>
      <w:spacing w:after="57"/>
    </w:pPr>
  </w:style>
  <w:style w:type="paragraph" w:styleId="896">
    <w:name w:val="toc 4"/>
    <w:basedOn w:val="815"/>
    <w:next w:val="815"/>
    <w:uiPriority w:val="39"/>
    <w:unhideWhenUsed/>
    <w:pPr>
      <w:ind w:left="850"/>
      <w:spacing w:after="57"/>
    </w:pPr>
  </w:style>
  <w:style w:type="paragraph" w:styleId="897">
    <w:name w:val="toc 5"/>
    <w:basedOn w:val="815"/>
    <w:next w:val="815"/>
    <w:uiPriority w:val="39"/>
    <w:unhideWhenUsed/>
    <w:pPr>
      <w:ind w:left="1134"/>
      <w:spacing w:after="57"/>
    </w:pPr>
  </w:style>
  <w:style w:type="paragraph" w:styleId="898">
    <w:name w:val="toc 6"/>
    <w:basedOn w:val="815"/>
    <w:next w:val="815"/>
    <w:uiPriority w:val="39"/>
    <w:unhideWhenUsed/>
    <w:pPr>
      <w:ind w:left="1417"/>
      <w:spacing w:after="57"/>
    </w:pPr>
  </w:style>
  <w:style w:type="paragraph" w:styleId="899">
    <w:name w:val="toc 7"/>
    <w:basedOn w:val="815"/>
    <w:next w:val="815"/>
    <w:uiPriority w:val="39"/>
    <w:unhideWhenUsed/>
    <w:pPr>
      <w:ind w:left="1701"/>
      <w:spacing w:after="57"/>
    </w:pPr>
  </w:style>
  <w:style w:type="paragraph" w:styleId="900">
    <w:name w:val="toc 8"/>
    <w:basedOn w:val="815"/>
    <w:next w:val="815"/>
    <w:uiPriority w:val="39"/>
    <w:unhideWhenUsed/>
    <w:pPr>
      <w:ind w:left="1984"/>
      <w:spacing w:after="57"/>
    </w:pPr>
  </w:style>
  <w:style w:type="paragraph" w:styleId="901">
    <w:name w:val="toc 9"/>
    <w:basedOn w:val="815"/>
    <w:next w:val="815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Balloon Text"/>
    <w:basedOn w:val="81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у виносці Знак"/>
    <w:basedOn w:val="825"/>
    <w:link w:val="903"/>
    <w:uiPriority w:val="99"/>
    <w:semiHidden/>
    <w:rPr>
      <w:rFonts w:ascii="Segoe UI" w:hAnsi="Segoe UI" w:cs="Segoe UI"/>
      <w:sz w:val="18"/>
      <w:szCs w:val="18"/>
    </w:rPr>
  </w:style>
  <w:style w:type="character" w:styleId="905" w:customStyle="1">
    <w:name w:val="rvts44"/>
    <w:basedOn w:val="747"/>
    <w:uiPriority w:val="99"/>
    <w:rPr>
      <w:rFonts w:cs="Times New Roman"/>
    </w:rPr>
  </w:style>
  <w:style w:type="paragraph" w:styleId="906" w:customStyle="1">
    <w:name w:val="Standard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7" w:customStyle="1">
    <w:name w:val="ДинТекстОбыч"/>
    <w:basedOn w:val="746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uk-UA" w:bidi="ar-SA" w:eastAsia="en-US"/>
    </w:rPr>
    <w:pPr>
      <w:numPr>
        <w:numId w:val="0"/>
      </w:numPr>
      <w:contextualSpacing w:val="false"/>
      <w:ind w:left="1287" w:right="0" w:hanging="355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13</cp:revision>
  <dcterms:modified xsi:type="dcterms:W3CDTF">2021-12-10T17:58:59Z</dcterms:modified>
</cp:coreProperties>
</file>