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9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926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9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ЗАГАЛЬНООБ</w:t>
      </w:r>
      <w:r>
        <w:rPr>
          <w:sz w:val="28"/>
          <w:szCs w:val="28"/>
        </w:rPr>
        <w:t xml:space="preserve">'</w:t>
      </w:r>
      <w:r>
        <w:rPr>
          <w:b/>
          <w:sz w:val="28"/>
          <w:szCs w:val="28"/>
        </w:rPr>
        <w:t xml:space="preserve">ЄКТОВА ІНСТРУКЦІЯ № 15</w:t>
      </w:r>
      <w:r/>
    </w:p>
    <w:p>
      <w:pPr>
        <w:pStyle w:val="926"/>
        <w:ind w:firstLine="567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для кочегарів котельних, які працюють на твердому паливі</w:t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926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927"/>
        <w:ind w:left="-142"/>
        <w:jc w:val="center"/>
        <w:rPr>
          <w:caps/>
          <w:sz w:val="28"/>
          <w:szCs w:val="28"/>
        </w:rPr>
      </w:pPr>
      <w:r>
        <w:rPr>
          <w:bCs/>
          <w:sz w:val="28"/>
          <w:szCs w:val="28"/>
        </w:rPr>
        <w:br w:type="page"/>
      </w:r>
      <w:r>
        <w:rPr>
          <w:bCs/>
          <w:sz w:val="28"/>
          <w:szCs w:val="28"/>
        </w:rPr>
        <w:t xml:space="preserve">МЕНСЬ</w:t>
      </w:r>
      <w:r>
        <w:rPr>
          <w:caps/>
          <w:sz w:val="28"/>
          <w:szCs w:val="28"/>
        </w:rPr>
        <w:t xml:space="preserve">КА МІСЬКА РАДА</w:t>
      </w:r>
      <w:r/>
    </w:p>
    <w:p>
      <w:pPr>
        <w:pStyle w:val="927"/>
        <w:ind w:left="-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КОРЮКІВСЬКОГО РАЙОНУ ЧЕРНІГІВСЬКОЇ ОБЛАСТІ </w:t>
      </w:r>
      <w:r/>
    </w:p>
    <w:p>
      <w:pPr>
        <w:pStyle w:val="927"/>
        <w:jc w:val="center"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926"/>
        <w:ind w:left="567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>
        <w:rPr>
          <w:sz w:val="28"/>
          <w:szCs w:val="28"/>
        </w:rPr>
      </w:r>
      <w:r/>
    </w:p>
    <w:p>
      <w:pPr>
        <w:pStyle w:val="926"/>
        <w:ind w:left="567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6"/>
        <w:ind w:left="567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 </w:t>
      </w:r>
      <w:r/>
    </w:p>
    <w:p>
      <w:pPr>
        <w:pStyle w:val="926"/>
        <w:ind w:left="567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29 листопада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21</w:t>
      </w:r>
      <w:r>
        <w:rPr>
          <w:sz w:val="28"/>
          <w:szCs w:val="28"/>
        </w:rPr>
        <w:t xml:space="preserve"> р. </w:t>
      </w:r>
      <w:r>
        <w:rPr>
          <w:sz w:val="28"/>
          <w:szCs w:val="28"/>
        </w:rPr>
        <w:t xml:space="preserve">№ 436</w:t>
      </w:r>
      <w:r>
        <w:rPr>
          <w:sz w:val="28"/>
          <w:szCs w:val="28"/>
        </w:rPr>
      </w:r>
      <w:r/>
    </w:p>
    <w:p>
      <w:pPr>
        <w:pStyle w:val="926"/>
        <w:ind w:right="101"/>
        <w:jc w:val="center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ІНСТРУКЦІЯ</w:t>
      </w:r>
      <w:r/>
    </w:p>
    <w:p>
      <w:pPr>
        <w:pStyle w:val="92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з охорони праці № </w:t>
      </w:r>
      <w:r>
        <w:rPr>
          <w:b/>
          <w:caps/>
          <w:sz w:val="28"/>
          <w:szCs w:val="28"/>
        </w:rPr>
        <w:t xml:space="preserve">15</w:t>
      </w:r>
      <w:r>
        <w:rPr>
          <w:b/>
          <w:caps/>
          <w:sz w:val="28"/>
          <w:szCs w:val="28"/>
        </w:rPr>
      </w:r>
      <w:r/>
    </w:p>
    <w:p>
      <w:pPr>
        <w:pStyle w:val="926"/>
        <w:ind w:firstLine="567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для кочегарів котельних, які працюють на твердому паливі</w:t>
      </w:r>
      <w:r/>
    </w:p>
    <w:p>
      <w:pPr>
        <w:pStyle w:val="926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pStyle w:val="926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Загальні вимоги безпеки.</w:t>
      </w:r>
      <w:r/>
    </w:p>
    <w:p>
      <w:pPr>
        <w:pStyle w:val="940"/>
        <w:ind w:left="0" w:firstLine="709"/>
        <w:jc w:val="both"/>
        <w:spacing w:lineRule="auto" w:line="240"/>
        <w:tabs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1.1. Обслуговування котлів може бути доруче</w:t>
      </w:r>
      <w:r>
        <w:rPr>
          <w:sz w:val="28"/>
          <w:szCs w:val="28"/>
        </w:rPr>
        <w:t xml:space="preserve">но особам. не молодшим 18 років, які пройшли медичний огляд, навчені за відповідною програмою і склали екзамени кваліфікаційній комісії, мають посвідчення на право обслуговування котлів та одержали відповідні інструктажі із безпеки праці на робочому місці.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Чергова (повторна ) перевірка знань машиніста здійснюється комісією школи не рідше 1 раз у 12 місяців, а інструктажі з охорони праці 1 раз в 3 місяці.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1.2. Під час роботи машиніст повинен дотримуватися вимог внутрішнього розпорядку.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Виконувати тільки необхідну роботу, яка передбачена виробничою інструкцією та нормативними документами.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Сторонні особи допускаються у котельні тільки з дозволу адміністрації і у супроводі її представника.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Курити дозволяється  в спеціально відведених  для цього місцях, обладнаних засобами пожежогасіння.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Забороняється під час роботи вживати алкогольні напої.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 дозволяється спати під час чергування, зберігати постійні  речі у приміщенні котельні.</w:t>
      </w:r>
      <w:r/>
    </w:p>
    <w:p>
      <w:pPr>
        <w:pStyle w:val="926"/>
        <w:ind w:firstLine="709"/>
        <w:jc w:val="both"/>
        <w:tabs>
          <w:tab w:val="num" w:pos="840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1.3. Під час обслуговування котлів необхідно застосовувати відповідні засоби захисту, що запобігають дії на машиніста небезпечних або шкідливих факторів, до яких відносяться:</w:t>
      </w:r>
      <w:r/>
    </w:p>
    <w:p>
      <w:pPr>
        <w:pStyle w:val="926"/>
        <w:numPr>
          <w:ilvl w:val="0"/>
          <w:numId w:val="24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обладнання, що транспортує речовини підвищеної температури і тиску;</w:t>
      </w:r>
      <w:r/>
    </w:p>
    <w:p>
      <w:pPr>
        <w:pStyle w:val="926"/>
        <w:numPr>
          <w:ilvl w:val="0"/>
          <w:numId w:val="24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та огляд обладнання і приладів на висоті;</w:t>
      </w:r>
      <w:r/>
    </w:p>
    <w:p>
      <w:pPr>
        <w:pStyle w:val="926"/>
        <w:numPr>
          <w:ilvl w:val="0"/>
          <w:numId w:val="24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підвищений рівень температури повітря, шуму та вібрації в приміщені котельні.</w:t>
      </w:r>
      <w:r/>
    </w:p>
    <w:p>
      <w:pPr>
        <w:pStyle w:val="926"/>
        <w:ind w:firstLine="709"/>
        <w:jc w:val="both"/>
        <w:tabs>
          <w:tab w:val="num" w:pos="8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1.4. Машиніст котельні забезпечується спецодягом та іншими засобами захисту згідно діючих норм.</w:t>
      </w:r>
      <w:r/>
    </w:p>
    <w:p>
      <w:pPr>
        <w:pStyle w:val="926"/>
        <w:ind w:firstLine="709"/>
        <w:jc w:val="both"/>
        <w:tabs>
          <w:tab w:val="num" w:pos="8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1.5. Для запобігання пожежі в приміщенні котельні необхідно:</w:t>
      </w:r>
      <w:r/>
    </w:p>
    <w:p>
      <w:pPr>
        <w:pStyle w:val="926"/>
        <w:numPr>
          <w:ilvl w:val="0"/>
          <w:numId w:val="25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стежити за справністю електрообладнання, не допускати його перегрівання, своєчасно усувати несправності за допомогою відповідних фахівців;</w:t>
      </w:r>
      <w:r/>
    </w:p>
    <w:p>
      <w:pPr>
        <w:pStyle w:val="926"/>
        <w:numPr>
          <w:ilvl w:val="0"/>
          <w:numId w:val="25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періодично контролювати очищення газоходів від сажі;</w:t>
      </w:r>
      <w:r/>
    </w:p>
    <w:p>
      <w:pPr>
        <w:pStyle w:val="926"/>
        <w:numPr>
          <w:ilvl w:val="0"/>
          <w:numId w:val="25"/>
        </w:num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промасленні ганчірки прибирати в спеціальні металеві ящики і регулярно віддаляти їх з приміщення.</w:t>
      </w:r>
      <w:r/>
    </w:p>
    <w:p>
      <w:pPr>
        <w:pStyle w:val="926"/>
        <w:ind w:firstLine="709"/>
        <w:jc w:val="both"/>
        <w:tabs>
          <w:tab w:val="num" w:pos="8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1.6.В приміщенні котельні повинні бути засоби пожежогасіння (пісок, вогнегасник та ін.) Машиніст повинен знати місце їх знаходження і вміти користуватися будь якими засобами пожежогасіння.</w:t>
      </w:r>
      <w:r/>
    </w:p>
    <w:p>
      <w:pPr>
        <w:pStyle w:val="926"/>
        <w:ind w:firstLine="709"/>
        <w:jc w:val="both"/>
        <w:tabs>
          <w:tab w:val="num" w:pos="840" w:leader="none"/>
          <w:tab w:val="num" w:pos="1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1.7.У випадку травмування, недомагання, виявлення зіпсованості обладнання, пристосувань, інструментів - негайно повідомити про це відповідальному за безпеку експлуатації котельні.</w:t>
      </w:r>
      <w:r/>
    </w:p>
    <w:p>
      <w:pPr>
        <w:pStyle w:val="926"/>
        <w:ind w:firstLine="709"/>
        <w:jc w:val="both"/>
        <w:tabs>
          <w:tab w:val="num" w:pos="840" w:leader="none"/>
          <w:tab w:val="num" w:pos="1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1.8. Машиністові необхідно вміти надати першу медичну допомогу потерпілому внаслідок аварійного стану чи при нещасному випадку, вміти користуватися аптечкою.</w:t>
      </w:r>
      <w:r/>
    </w:p>
    <w:p>
      <w:pPr>
        <w:pStyle w:val="926"/>
        <w:ind w:firstLine="709"/>
        <w:jc w:val="both"/>
        <w:tabs>
          <w:tab w:val="num" w:pos="840" w:leader="none"/>
          <w:tab w:val="num" w:pos="12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1.9. Приміщення котельні, котли, усе устаткування та робоче місце слід тримати у справному стані чи чистоті, дотримуватись правил особистої гігієни.</w:t>
      </w:r>
      <w:r/>
    </w:p>
    <w:p>
      <w:pPr>
        <w:pStyle w:val="926"/>
        <w:ind w:firstLine="709"/>
        <w:tabs>
          <w:tab w:val="num" w:pos="840" w:leader="none"/>
          <w:tab w:val="num" w:pos="12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1.10.</w:t>
      </w:r>
      <w:r>
        <w:rPr>
          <w:b/>
          <w:bCs/>
          <w:i/>
          <w:iCs/>
          <w:sz w:val="28"/>
          <w:szCs w:val="28"/>
        </w:rPr>
        <w:t xml:space="preserve">Забороняється</w:t>
      </w:r>
      <w:r>
        <w:rPr>
          <w:sz w:val="28"/>
          <w:szCs w:val="28"/>
        </w:rPr>
        <w:t xml:space="preserve">:</w:t>
      </w:r>
      <w:r/>
    </w:p>
    <w:p>
      <w:pPr>
        <w:pStyle w:val="926"/>
        <w:numPr>
          <w:ilvl w:val="0"/>
          <w:numId w:val="26"/>
        </w:numPr>
        <w:ind w:firstLine="29"/>
        <w:jc w:val="both"/>
        <w:tabs>
          <w:tab w:val="left" w:pos="226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зберігати в приміщенні котельні легкозаймисті речовини або матеріали, балони з газами, газогенератори;</w:t>
      </w:r>
      <w:r/>
    </w:p>
    <w:p>
      <w:pPr>
        <w:pStyle w:val="926"/>
        <w:numPr>
          <w:ilvl w:val="0"/>
          <w:numId w:val="26"/>
        </w:numPr>
        <w:ind w:firstLine="29"/>
        <w:jc w:val="both"/>
        <w:tabs>
          <w:tab w:val="left" w:pos="226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необережно поводитись з вогнем;</w:t>
      </w:r>
      <w:r/>
    </w:p>
    <w:p>
      <w:pPr>
        <w:pStyle w:val="926"/>
        <w:numPr>
          <w:ilvl w:val="0"/>
          <w:numId w:val="26"/>
        </w:numPr>
        <w:ind w:firstLine="29"/>
        <w:jc w:val="both"/>
        <w:tabs>
          <w:tab w:val="left" w:pos="226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захаращувати чи закривати проходи, включаючи проходи до пожежного інвентарю. Ширина проходів між устаткуваннями повинна бути не менше 1м.</w:t>
      </w:r>
      <w:r/>
    </w:p>
    <w:p>
      <w:pPr>
        <w:pStyle w:val="941"/>
        <w:ind w:left="0" w:firstLine="709"/>
        <w:jc w:val="both"/>
        <w:tabs>
          <w:tab w:val="num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1.11.Осои, які порушили вимоги цієї інструкції, протягуються до відповідальності в адміністративному або кримінальному порядку згідно з діючим законодавством. </w:t>
      </w:r>
      <w:r/>
    </w:p>
    <w:p>
      <w:pPr>
        <w:pStyle w:val="926"/>
        <w:ind w:firstLine="709"/>
        <w:jc w:val="center"/>
        <w:tabs>
          <w:tab w:val="num" w:pos="1640" w:leader="none"/>
        </w:tabs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Вимоги безпеки перед початком роботи.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Заступаючи на чергування, персонал котельні зобов’язаний ознайомитися із записами у змінному журналі і перевірити справність котлів та їхнього устаткування, а також справність аварійного освітлення та сигналізації 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Прийом і здача чергування оформляється начальник</w:t>
      </w:r>
      <w:r>
        <w:rPr>
          <w:sz w:val="28"/>
          <w:szCs w:val="28"/>
        </w:rPr>
        <w:t xml:space="preserve">ом зміни (старший на зміні) відповідним записом у змінному журналі про результати перевірки котлів та їх устаткування, водовказівних приладів, сигналізаторів граничних рівнів води, манометрів, запобіжних клапанів, живильних приладів та засобів автоматики. 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 дозволяється приймати та здавати чергування під час ліквідації аварій у котельні.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Машиністи (кочегари) під час чергування не повинні відриватись від виконання обов’язків, покладених на них інструкцією.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Забороняється залишати котли без нагляду до нового припинення горіння у топці, видалення з неї залишків палива і зниження тиску до нуля.</w:t>
      </w:r>
      <w:r/>
    </w:p>
    <w:p>
      <w:pPr>
        <w:pStyle w:val="926"/>
        <w:numPr>
          <w:ilvl w:val="0"/>
          <w:numId w:val="27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 початку будь-яких робіт в середині котла, з’єднаного з іншими працюючими </w:t>
      </w:r>
      <w:r>
        <w:rPr>
          <w:sz w:val="28"/>
          <w:szCs w:val="28"/>
        </w:rPr>
        <w:t xml:space="preserve">котлами загальними трубопроводами (паропровід, живильний, відпускний і т. д.), а також перед оглядом або ремонтом елементів, що працюють під тиском, при наявності небезпеки опіку людей парою або водою, котел треба відділити від усіх трубопроводів заглушки.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2.7. Відкривати люки і лючки, а також ремонтувати елементи котла дозволяється тільки при повній відсутності тиску. Перед відкриттям люків і лючків у межах водяного простору, воду з елементів котлів необхідно повністю видалити.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2.8. Виконання робіт всередині топок і газоходів котла допускаються тільки при температурі, що не перевищує </w:t>
      </w:r>
      <w:r>
        <w:rPr>
          <w:sz w:val="28"/>
          <w:szCs w:val="28"/>
        </w:rPr>
        <w:t xml:space="preserve">50 º С, при наявності письмового дозволу (наряду-допуску) завідуючого котельнею, написаного після відповідної перевірки місця роботи. Перебування однієї й тієї ж особи всередині котла чи газоходу за цих температурних умов не повинно перевищувати 20 хвилин.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2.9. Перед початком робіт топку та газоходи треба старанно провентилювати, забезпечити добре освітлення і надійний захист від можливого проникнення в приміщення газу та пилу з газоходів працюючих котлів.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2.10. На вентиляторах, засувках і заслінках при відключенні ділянок трубопроводів і газоходів, а також на пускових пристроях димососів, дуттьових вентиляторів та живиль</w:t>
      </w:r>
      <w:r>
        <w:rPr>
          <w:sz w:val="28"/>
          <w:szCs w:val="28"/>
        </w:rPr>
        <w:t xml:space="preserve">ників палива необхідно вивішувати плакати “Не включати, працюють люди”. Одночасно на пускових пристроях димососів, дуттьових вентиляторів і живильників палива необхідно зняти плавкі вставки. Установку та зняття заглушок виконують згідно з нарядом-допуском.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2.11. Під час роботи у котлі, на його площадках та в газоходах для електроосвітлення застосовується напруга, що не перевищує 12В.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2.12. Перед закриттям люків і лазів необхідно перевірити, чи не залишились всередині котла люди або сторонні речі, а також перевірити наявність і справність пристроїв, які встановлюються всередині котла.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2.13. Електрообладнання та  щити електропостачання повинні мати надійне заземлення.</w:t>
      </w:r>
      <w:r/>
    </w:p>
    <w:p>
      <w:pPr>
        <w:pStyle w:val="926"/>
        <w:jc w:val="center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Вимоги безпеки під час роботи</w:t>
      </w:r>
      <w:r>
        <w:rPr>
          <w:i/>
          <w:iCs/>
          <w:sz w:val="28"/>
          <w:szCs w:val="28"/>
        </w:rPr>
        <w:t xml:space="preserve">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3.1. Перед розпалюванням котла слід старанно перевірити: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справність топки і газоходів, запірних та регулювальних пристроїв;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справність контрольно-вимірювальних  приладів,  арматури,  гарнітури, живильних пристроїв, димососів та вентиляторів, а також наявність природної тяги;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заповнення котла водою до відмітки нижчого рівня;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чи утримується рівень води у котлі, чи немає пропуску її через лючки, фланці чи арматуру;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чи немає заглушок на живильній , спускній та продувній лініях;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відсутність у топці і газоходах людей або сторонніх предметів.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3.2.Безпосередньо перед розпалювання</w:t>
      </w:r>
      <w:r>
        <w:rPr>
          <w:sz w:val="28"/>
          <w:szCs w:val="28"/>
        </w:rPr>
        <w:t xml:space="preserve">м котла необхідно провентилювати топку і газоходи 10-15 хвилин ( залежно від конструкції котла) відкриванням дверей топки, піддувала, шиберів для регулювання подачі повітря, заслінок  природної тяги, а при наявності димососів і вентиляторів – їх вмиканням.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Вмикання димососів у вибухонебезпечному виконанні допускається лише після провітрювання котлів природною тягою та перевірки справності димососів.</w:t>
      </w:r>
      <w:r/>
    </w:p>
    <w:p>
      <w:pPr>
        <w:pStyle w:val="926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Розпалювання котлів.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Котли розпалюють тільки при наявності розпорядження начальн</w:t>
      </w:r>
      <w:r>
        <w:rPr>
          <w:sz w:val="28"/>
          <w:szCs w:val="28"/>
        </w:rPr>
        <w:t xml:space="preserve">ика (завідуючого) котельні, або особи, яка його заміняє, записаного в змінному журналі. У розпорядженні повинна бути вказана тривалість заповнення котла водою і її температура. Персонал котельні має бути заздалегідь попередженим про час розпалювання котла.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Котли розпалюються протягом часу, встановленого адміністрацією, при слабкому вогні, зменшеній тязі, закритому</w:t>
      </w:r>
      <w:r>
        <w:rPr>
          <w:sz w:val="28"/>
          <w:szCs w:val="28"/>
        </w:rPr>
        <w:t xml:space="preserve"> паровому вентилі і відкритому запобіжному клапані або вентилі (крані) для випуску повітря. Під час розпалювання котла необхідно забезпечити рівномірне прогрівання його частин і заздалегідь включити пристрій для підігрівання води у нижньому барабані котла.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Застосування під час розпалювання котла, що працює на твердому паливі, легкозаймистих матеріалів (бензин, газ та ін.) не допускається.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Якщо пароперегрівач котла має пристрій для запобігання перегріву його елементів, під час розпалювання котла треба вмикати цей пристрій. 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Якщо з відкритого запобіжного клапана або повітряного вентиля почне виходити пара, необхідно закрити запобіжний клапан або повітряний вентиль і відкрити продувний вентиль - за пароперегрівачем.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Підтягування болтів, лазів, люків під час розпалювання котла треба виконувати з великою обережністю, тільки нормальним ключем, без застосування важелів, і у присутності осіб, відповідальних за котельню.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Підтягування болтів, лазів, і люків під тиском не допускається.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Під час розпалювання необхідно вести контроль за переміщенням елементів котла при тепловому розширенні за покажчиками переміщення (реперами).</w:t>
      </w:r>
      <w:r/>
    </w:p>
    <w:p>
      <w:pPr>
        <w:pStyle w:val="926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Включення котла в роботу.</w:t>
      </w:r>
      <w:r/>
    </w:p>
    <w:p>
      <w:pPr>
        <w:pStyle w:val="926"/>
        <w:numPr>
          <w:ilvl w:val="0"/>
          <w:numId w:val="28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Перед включенням котла в роботу необхідно виконати: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 перевірку справності дії запобіжних клапанів, водовказівних приладів, манометра і живильних пристроїв;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 перевірку показів рівня води за покажчиками рівня води прямої дії;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 перевірку і включення автоматики безпеки, сигналізаторів, апаратури автоматичного керування котлом;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г) продувку котла.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Забороняється включати в роботу котли з несправною арматурою, живильними пристроями, автоматикою безпеки і засобами проти аварійного захисту та сигналізації.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3.12. Включення котла у паропровід повинен здійснюватись повільно, після старанного прогріву і продуву паропроводу. Під</w:t>
      </w:r>
      <w:r>
        <w:rPr>
          <w:sz w:val="28"/>
          <w:szCs w:val="28"/>
        </w:rPr>
        <w:t xml:space="preserve"> час прогрівання необхідно уважно стежити за справністю трубопроводу, конденсаторів, опору і підвісок, а також за рівномірним розширенням паропроводу. При виникненні вібрації або різких ударів необхідно припинити прогрівання до усунення виявлених дефектів.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3.13. При виключенні котла тиск у котлі повинен дорівнювати або бути дещо меншим від тиску в проводі (не більше 0,5 кг/см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), при цьому горіння у топці слід зменшити. Якщо в паропроводі виникатимуть поштовхи або гідравлічні удари, необхідно негайно припинити включення котла і збільшити продування паропроводу.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3.14. По мірі збільшення навантаження котла продування пароперегрівача зменшуються, а після досягнення приблизно половини навантаження - припиняється.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3.15. Час початку розпалювання і включення котла в роботу записується у змінний журнал.  </w:t>
      </w:r>
      <w:r/>
    </w:p>
    <w:p>
      <w:pPr>
        <w:pStyle w:val="926"/>
        <w:jc w:val="center"/>
      </w:pPr>
      <w:r>
        <w:rPr>
          <w:i/>
          <w:iCs/>
          <w:sz w:val="28"/>
          <w:szCs w:val="28"/>
        </w:rPr>
        <w:t xml:space="preserve">Робота котла.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3.16. Під час чергування персонал котельні повинен стежити за справністю котла і всього устаткування котельні та суворо дотримуватись встановленого режиму роботи котла.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Виявлені в процесі роботи несправності устаткування необхідно записати у змінний журнал. Персонал повинен негайно вживати</w:t>
      </w:r>
      <w:r>
        <w:rPr>
          <w:sz w:val="28"/>
          <w:szCs w:val="28"/>
        </w:rPr>
        <w:t xml:space="preserve"> заходів щодо усунення несправностей, які загрожують безпечній та безаварійній роботі устаткування. Якщо усунути несправності своїми силами неможливо, необхідно повідомити про це начальника котельні або особу, відповідальну за безпечну експлуатацію котлів.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Особливу увагу під час роботи потрібно звертати на: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 підтримання нормального рівня води у котлі та рівномірне живлення його водою. При цьому не можна допускати, щоб рівень води знижувався нижче граничного рівня або підіймався вище допустимого вищого рівня;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 підтримання нормального тиску пари (підвищення тиску в котлі вище дозволеного не допускається);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 підтримання температури перегрітої пари, а також температури живильної води після економайзера.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3.17. Перевірка справності дії манометра за допомогою трьохходових кранів або запірних вентилів, що їх замінюють, повинна здійснюватися не менше одного разу протягом зміни; результати  перевірки записувати в змінний журнал.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3.18. Перевірку водовказівних приладів продування треба здійснювати для котлів з робочим тиском до 24 кг/см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  не менше одного разу за зміну. Звіряти покази знижених показників рівня води з водовказівними приладами прямої дії треба не менше одного разу протягом зміни із записом результатів у змінний журнал.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3.19. Перевірку справності запобіжних клапанів продуванням необхідно здійс</w:t>
      </w:r>
      <w:r>
        <w:rPr>
          <w:sz w:val="28"/>
          <w:szCs w:val="28"/>
        </w:rPr>
        <w:t xml:space="preserve">нювати для котлів з тиском до 0,7 кг/см   не менше як раз за зміну (кожного клапана). Робота котлів з несправними або не відрегульованими запобіжними клапанами забороняється. Забороняється також заклинювати запобіжні клапани або додатково навантажувати їх.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  <w:pBdr>
          <w:left w:val="single" w:color="000000" w:sz="6" w:space="1"/>
        </w:pBdr>
      </w:pPr>
      <w:r>
        <w:rPr>
          <w:sz w:val="28"/>
          <w:szCs w:val="28"/>
        </w:rPr>
        <w:t xml:space="preserve">3.20. Справність всіх живильних насосів треба перевіряти короткочасними пусками кожного з них у роботу; для котлів з робочим тиском до 24 кгс/см</w:t>
      </w:r>
      <w:r>
        <w:rPr>
          <w:sz w:val="28"/>
          <w:szCs w:val="28"/>
          <w:vertAlign w:val="superscript"/>
        </w:rPr>
        <w:t xml:space="preserve">2  </w:t>
      </w:r>
      <w:r>
        <w:rPr>
          <w:sz w:val="28"/>
          <w:szCs w:val="28"/>
        </w:rPr>
        <w:t xml:space="preserve">-  не менше одного разу протягом зміни.</w:t>
      </w:r>
      <w:r/>
    </w:p>
    <w:p>
      <w:pPr>
        <w:pStyle w:val="926"/>
        <w:numPr>
          <w:ilvl w:val="0"/>
          <w:numId w:val="29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Закидати тверде паливо на колосникову ре</w:t>
      </w:r>
      <w:r>
        <w:rPr>
          <w:sz w:val="28"/>
          <w:szCs w:val="28"/>
        </w:rPr>
        <w:t xml:space="preserve">шітку ручної топки треба невеликими порціями, швидко, при послабленому чи виключеному дутті. При наявності кількох завантажувальних дверцях закидають паливо у кожну з них по черзі, після того, як раніше вкинуте паливо в сусідні дверцята добре розгориться. </w:t>
      </w:r>
      <w:r/>
    </w:p>
    <w:p>
      <w:pPr>
        <w:pStyle w:val="926"/>
        <w:numPr>
          <w:ilvl w:val="0"/>
          <w:numId w:val="30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Товщину шару палива на колосниковій решітці треба підтримувати залежно від сорту і якості</w:t>
      </w:r>
      <w:r>
        <w:rPr>
          <w:sz w:val="28"/>
          <w:szCs w:val="28"/>
        </w:rPr>
        <w:t xml:space="preserve"> палива відповідно до вказівок адміністрації. При збільшенні навантаження котла необхідно з початку збільшити тягу, а потім дуття, при зниженні навантаження - спочатку зменшити дуття, а потім - тягу. Дверці топок повинні бути зачинені і замкнуті на клямки.</w:t>
      </w:r>
      <w:r/>
    </w:p>
    <w:p>
      <w:pPr>
        <w:pStyle w:val="926"/>
        <w:numPr>
          <w:ilvl w:val="0"/>
          <w:numId w:val="30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Періодичне продування котла треба здійснювати у терміни, встановлені адміністрацією у присутності відповідальної за зміну особи. Про наступне продування котла заздалегідь попереджають персонал котельні, а також ремонт</w:t>
      </w:r>
      <w:r>
        <w:rPr>
          <w:sz w:val="28"/>
          <w:szCs w:val="28"/>
        </w:rPr>
        <w:t xml:space="preserve">них робітників сусідніх котлів. До продування необхідно впевнитись у справності водовказівних приладів, живильних пристроїв і в наявності води в живильних баках та в тому, що котли, які ремонтуються, або проходять чистку, від’єднані від продувальних ліній.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Рівень води у котлі перед продуванням повинен бути дещо вищим від нормального.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Продувальну арматуру треба відкривати обережно і поволі. При наявності двох запірних пристроїв спочатку відкривають від котла, а після припинення продування спочатку закривають перший від котла пристрій.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Під час продування котла необхідно стежити за рівнем води у котлі. У випадку виникнення в продува</w:t>
      </w:r>
      <w:r>
        <w:rPr>
          <w:sz w:val="28"/>
          <w:szCs w:val="28"/>
        </w:rPr>
        <w:t xml:space="preserve">льних лініях гідравлічних ударів, вібрації трубопроводу або інших ненормальних явищ, продування слід негайно припинити. Після закінчення продування потрібно переконатися в тому, що запірні органи на продувальній лінії надійно закриті і не пропускають воду.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</w:t>
      </w:r>
      <w:r>
        <w:rPr>
          <w:sz w:val="28"/>
          <w:szCs w:val="28"/>
        </w:rPr>
        <w:t xml:space="preserve">няється виконувати продування, якщо несправна продувна арматура, відкривати і закривати арматуру за допомогою молотка чи іншого предмета, а також із застосуванням подовжених важелів. Час початку і закінчення продування котла записується у змінному журналі.</w:t>
      </w:r>
      <w:r/>
    </w:p>
    <w:p>
      <w:pPr>
        <w:pStyle w:val="926"/>
        <w:numPr>
          <w:ilvl w:val="0"/>
          <w:numId w:val="31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Забороняється під час роботи котла виконувати підчеканення заклепних швів, зварювання елементів котла та ін.</w:t>
      </w:r>
      <w:r/>
    </w:p>
    <w:p>
      <w:pPr>
        <w:pStyle w:val="926"/>
        <w:numPr>
          <w:ilvl w:val="0"/>
          <w:numId w:val="32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Чистку ручної топки слід здійснювати при зниженому навантаженні, послабленому або виключеному дутті  та зменшеній тязі.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ручному золовидаленні шлак та золу видаляють з топки в бункер і заливають водою</w:t>
      </w:r>
      <w:r>
        <w:rPr>
          <w:sz w:val="28"/>
          <w:szCs w:val="28"/>
        </w:rPr>
        <w:t xml:space="preserve">. Шлак і золу випускають з дозволу машиніста (кочегара); перед випуском шлаку та золи з бункеру чи топки, всіх робітників, що знаходяться у зольному приміщенні, попереджають. Підчас відкривання затворів нікому не дозволяється знаходитись поруч із затвором.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видаленні шлаку і золи із топки безпосередньо на робочу площадку, над місцем їх заливання необхідно включати витяжну вентиляцію.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3.26. Видалення з поверхні нагріву котлів шлаку, золи і нагару обдування здійснюється в строки, встановлені адмі</w:t>
      </w:r>
      <w:r>
        <w:rPr>
          <w:sz w:val="28"/>
          <w:szCs w:val="28"/>
        </w:rPr>
        <w:t xml:space="preserve">ністрацією. Перед обдуванням необхідно збільшити тягу. Якщо тягу не можна збільшити, то треба ослабити горіння у топці, зменшивши дуття. Обдування треба проводити за ходом газів, починаючи з поверхонь нагріву, розміщених у камері топки у першому газоході. 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 проведення обдування котла треба попереджати весь обслуговуючий персонал.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Обдування слід негайно припинити, якщо під час його проведення виходить газ крізь люки, а також якщо буде виявлено несправність у котлі або обдувальному пристрої.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Щоб запобігти опікам, обдувач повинен знаходитись збоку від дверцят. </w:t>
      </w:r>
      <w:r/>
    </w:p>
    <w:p>
      <w:pPr>
        <w:pStyle w:val="926"/>
        <w:numPr>
          <w:ilvl w:val="0"/>
          <w:numId w:val="33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Все устаткування і прилади автоматичного керування та безпеки котла необхідно підтримувати у справному стані і регулярно перевіряти. Порядок і строки перевірки встановлюються адміністрацією.</w:t>
      </w:r>
      <w:r/>
    </w:p>
    <w:p>
      <w:pPr>
        <w:pStyle w:val="926"/>
        <w:ind w:firstLine="709"/>
        <w:jc w:val="center"/>
        <w:tabs>
          <w:tab w:val="left" w:pos="1134" w:leader="none"/>
        </w:tabs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Зупинка котла.</w:t>
      </w:r>
      <w:r/>
    </w:p>
    <w:p>
      <w:pPr>
        <w:pStyle w:val="926"/>
        <w:numPr>
          <w:ilvl w:val="0"/>
          <w:numId w:val="34"/>
        </w:numPr>
        <w:ind w:left="0"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Зупинка котла у всіх випадках, крім аварійної зупинки, дозволяється  тільки при наявності письмового розпорядження адміністрації.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Під час зупинки котла необхідно: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 підтримувати рівень води у котлі вище середнього робочого положення;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 припинити подачу палива в топку 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в) від’єднати котел від паропроводів після повного припинення горіння у топці і припинення відбору пари, а при наявності пароперегрівника - відкрити продувку. 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Якщо після від’єднання котла від паропроводу тиск у котлі підвищується, слід підсилити продування перегрівника. Дозволяється також зробити невелику продувку котла і поповнення його водою: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г) розхолодити котел і відпустити воду з нього у порядку, встановленому адміністрацією. </w:t>
      </w:r>
      <w:r/>
    </w:p>
    <w:p>
      <w:pPr>
        <w:pStyle w:val="926"/>
        <w:numPr>
          <w:ilvl w:val="0"/>
          <w:numId w:val="35"/>
        </w:numPr>
        <w:ind w:left="0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зупинці котла, що працює на твердому паливі, слід 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 допалити при зменшених дутті і тязі залишки палива, що знаходились у топці. Забороняється гасити паливо, яке горить, засипанням його свіжим паливом або заливанням водою;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 припинити дуття і зменшити тягу;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 очистити топку та бункери;</w:t>
      </w:r>
      <w:r/>
    </w:p>
    <w:p>
      <w:pPr>
        <w:pStyle w:val="926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г) припинити тягу, закривши заслінку, топкові та піддувальні дверцята (у механічній топці припинити тягу після охолодження решітки).</w:t>
      </w:r>
      <w:r/>
    </w:p>
    <w:p>
      <w:pPr>
        <w:pStyle w:val="935"/>
        <w:ind w:firstLine="709"/>
        <w:jc w:val="both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3.30. Порядок консервації зупинених котлів повинен відповідати вказівкам Інструкції заводу – виготівника по монтажу і експлуатації котлів.</w:t>
      </w:r>
      <w:r/>
    </w:p>
    <w:p>
      <w:pPr>
        <w:pStyle w:val="926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Дії в аварійних ситуаціях.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Обслуговуючий персонал зобов’язаний у аварійних випадках негайно зупинити котел і повідомити про це начальника (завідуючого) котельнею або особу, яка його заміняє, зокрема у випадках, коли:</w:t>
      </w:r>
      <w:r/>
    </w:p>
    <w:p>
      <w:pPr>
        <w:pStyle w:val="93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перестало діяти понад 50% запобіжних клапанів або інших замінюючих їх запобіжних приладів;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піднявся тиск вище більш як на 10% і продовжує зростати, незважаючи на припинення подачі палива, зменшення тяги і дуття на підсилене живлення котла з водою;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відбувся упуск з котла (нижче нижнього краю водопокажчика). Підживлення котла водою у цій ситуації категорично забороняється;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рівень води швидко зменшується, незважаючи на посилене живлення котла водою;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рівень води піднявся вище від верхнього краю показника і продування котла не вдається його знизити;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припинилася дія усього устаткування живлення;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у основних елементах к</w:t>
      </w:r>
      <w:r>
        <w:rPr>
          <w:sz w:val="28"/>
          <w:szCs w:val="28"/>
        </w:rPr>
        <w:t xml:space="preserve">отла (барабані, колекторах, камерах, жаровій трубі, вогнетривкій коробці; кожусі топки, трубній решітці, зовнішньому сепараторі, паропроводі і т. д.) виявлено тріщини, опуклості, пропуски у зварних швах, обриви двох і більше зв`язок, які знаходяться поруч;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з) зупинилася подача електроенергії при штучній тязі, а також пошкодженій елементи котла та його обмурівки, що створило загрозу для безпеки обслуговуючого персоналу або загрозу зруйнування котла;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і) виникла пожежа у котельній або загорілась сажа чи частинки палива у газоходах, що створило загрозу обслуговуючому персоналу і котлу.</w:t>
      </w:r>
      <w:r/>
    </w:p>
    <w:p>
      <w:pPr>
        <w:pStyle w:val="92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4.2. Причини аварійної зупинки котла треба написати у змінний журнал.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При появі течі у заклепувальних швах або у місцях вальцювання труб, свищів в трубах пов</w:t>
      </w:r>
      <w:r>
        <w:rPr>
          <w:sz w:val="28"/>
          <w:szCs w:val="28"/>
        </w:rPr>
        <w:t xml:space="preserve">ерхні нагріву котла, а також інших пошкоджень та несправностей котла, арматури, манометрів, приладів безпеки і допоміжного устаткування, що не потребують негайної зупинки котла, обслуговуючий персонал зобов`язаний терміново повідомити про це адміністрацію.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Під час аварійної зупинки котла необхідно: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припинити подачу палива і повітря, різко ослабити тягу; 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негайно видалити з топки паливо, що горить; у виключних випадках, якщо це неможливо зробити, паливо, що горить, залити водою, спостерігаючи, щоб струмінь води не попав на стінку котла та обмурівку;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після того як горіння палива у топці припинено, відкрити на деякий час димові, а в ручних топках - топкові дверцята;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відключити котел від головного паропроводу;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пару випускати через трохи підняті запобіжні клапани або аварійний вихлопний вентиль, крім випадків, про які сказано у пункті 4.1.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У випадку зупинки котла внаслідок загоряння сажі слід негайно припинити подачу палива і повітря у топку, припинити тягу, зупинивши димососи та вентилятори, і повністю припинити газохід парою, і після припинення горіння провентилювати топку.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У випадку виникнення у котельні пожежі, персонал повинен негайно викликати пожежну охорону і вжити всіх заходів щодо гасіння пожежі, не припиняючи нагляду за котлами.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Якщо пожежа загрожує котлам і швидко погасити її не можливо, необхідно зупинити котли в аварійному порядку, посилено живлячи їх водою і випускаючи пару в повітря (поза приміщенням котельні).</w:t>
      </w:r>
      <w:r/>
    </w:p>
    <w:p>
      <w:pPr>
        <w:pStyle w:val="926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Вимоги безпеки після закінчення роботи.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Навести порядок на робочому місці.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Приймати і здавати чергування необхідно всім складом зміни. Забороняється передача і приймання зміни без оформлення відповідних документів та без дозволу особи, відповідальної за безпечну роботу котлів.</w:t>
      </w:r>
      <w:r/>
    </w:p>
    <w:p>
      <w:pPr>
        <w:pStyle w:val="92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Після здачі чергування прибрати спецодяг в шафу, умитися, по можливості прийняти душ.</w:t>
      </w:r>
      <w:r/>
    </w:p>
    <w:p>
      <w:pPr>
        <w:pStyle w:val="926"/>
        <w:ind w:firstLine="709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6"/>
        <w:jc w:val="both"/>
        <w:spacing w:lineRule="exact" w:line="269" w:after="1109" w:before="5"/>
        <w:rPr>
          <w:sz w:val="28"/>
          <w:szCs w:val="28"/>
        </w:rPr>
      </w:pPr>
      <w:r>
        <w:rPr>
          <w:sz w:val="28"/>
          <w:szCs w:val="28"/>
        </w:rPr>
        <w:t xml:space="preserve">Відповідальний за охороною праці</w:t>
      </w:r>
      <w:r>
        <w:rPr>
          <w:sz w:val="28"/>
          <w:szCs w:val="28"/>
        </w:rPr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1134" w:right="567" w:bottom="1134" w:left="1701" w:header="284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</w:pPr>
    <w:fldSimple w:instr="PAGE \* MERGEFORMAT">
      <w:r>
        <w:t xml:space="preserve">1</w:t>
      </w:r>
    </w:fldSimple>
    <w:r/>
    <w:r/>
  </w:p>
  <w:p>
    <w:pPr>
      <w:pStyle w:val="77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9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283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680"/>
        <w:tabs>
          <w:tab w:val="num" w:pos="1040" w:leader="none"/>
        </w:tabs>
      </w:pPr>
      <w:rPr>
        <w:rFonts w:ascii="Symbol" w:hAnsi="Symbol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571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926"/>
        <w:ind w:left="381" w:hanging="381"/>
        <w:tabs>
          <w:tab w:val="num" w:pos="381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926"/>
        <w:ind w:left="665" w:hanging="381"/>
        <w:tabs>
          <w:tab w:val="num" w:pos="66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926"/>
        <w:ind w:left="1572" w:hanging="720"/>
        <w:tabs>
          <w:tab w:val="num" w:pos="1572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926"/>
        <w:ind w:left="2500" w:hanging="1080"/>
        <w:tabs>
          <w:tab w:val="num" w:pos="25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926"/>
        <w:ind w:left="3428" w:hanging="1440"/>
        <w:tabs>
          <w:tab w:val="num" w:pos="3428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926"/>
        <w:ind w:left="4072" w:hanging="1800"/>
        <w:tabs>
          <w:tab w:val="num" w:pos="4072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13">
    <w:multiLevelType w:val="hybridMultilevel"/>
    <w:lvl w:ilvl="0">
      <w:start w:val="28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283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2.%1. "/>
      <w:legacy w:legacy="1" w:legacyIndent="0" w:legacySpace="0"/>
      <w:lvlJc w:val="left"/>
      <w:pPr>
        <w:pStyle w:val="926"/>
        <w:ind w:left="451" w:hanging="283"/>
      </w:pPr>
      <w:rPr>
        <w:rFonts w:ascii="Times New Roman" w:hAnsi="Times New Roman"/>
        <w:b w:val="false"/>
        <w:i w:val="false"/>
        <w:color w:val="808080"/>
        <w:sz w:val="32"/>
        <w:szCs w:val="32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3">
    <w:multiLevelType w:val="hybridMultilevel"/>
    <w:lvl w:ilvl="0">
      <w:start w:val="24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283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5">
    <w:multiLevelType w:val="hybridMultilevel"/>
    <w:lvl w:ilvl="0">
      <w:start w:val="27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283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7">
    <w:multiLevelType w:val="hybridMultilevel"/>
    <w:lvl w:ilvl="0">
      <w:start w:val="21"/>
      <w:numFmt w:val="decimal"/>
      <w:isLgl w:val="false"/>
      <w:suff w:val="tab"/>
      <w:lvlText w:val="3.%1. "/>
      <w:legacy w:legacy="1" w:legacyIndent="0" w:legacySpace="0"/>
      <w:lvlJc w:val="left"/>
      <w:pPr>
        <w:pStyle w:val="926"/>
        <w:ind w:left="283" w:hanging="283"/>
      </w:pPr>
      <w:rPr>
        <w:rFonts w:ascii="Times New Roman" w:hAnsi="Times New Roman"/>
        <w:b w:val="false"/>
        <w:i w:val="false"/>
        <w:sz w:val="28"/>
        <w:szCs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26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926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926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926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926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926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926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926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926"/>
        <w:ind w:left="4432" w:hanging="2160"/>
        <w:tabs>
          <w:tab w:val="num" w:pos="4432" w:leader="none"/>
        </w:tabs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680"/>
        <w:tabs>
          <w:tab w:val="num" w:pos="1040" w:leader="none"/>
        </w:tabs>
      </w:pPr>
      <w:rPr>
        <w:rFonts w:ascii="Symbol" w:hAnsi="Symbol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926"/>
        <w:ind w:left="680"/>
        <w:tabs>
          <w:tab w:val="num" w:pos="1040" w:leader="none"/>
        </w:tabs>
      </w:pPr>
      <w:rPr>
        <w:rFonts w:ascii="Symbol" w:hAnsi="Symbol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12"/>
  </w:num>
  <w:num w:numId="2">
    <w:abstractNumId w:val="30"/>
  </w:num>
  <w:num w:numId="3">
    <w:abstractNumId w:val="18"/>
  </w:num>
  <w:num w:numId="4">
    <w:abstractNumId w:val="31"/>
  </w:num>
  <w:num w:numId="5">
    <w:abstractNumId w:val="7"/>
  </w:num>
  <w:num w:numId="6">
    <w:abstractNumId w:val="16"/>
  </w:num>
  <w:num w:numId="7">
    <w:abstractNumId w:val="15"/>
  </w:num>
  <w:num w:numId="8">
    <w:abstractNumId w:val="1"/>
  </w:num>
  <w:num w:numId="9">
    <w:abstractNumId w:val="28"/>
  </w:num>
  <w:num w:numId="10">
    <w:abstractNumId w:val="4"/>
  </w:num>
  <w:num w:numId="11">
    <w:abstractNumId w:val="21"/>
  </w:num>
  <w:num w:numId="12">
    <w:abstractNumId w:val="3"/>
  </w:num>
  <w:num w:numId="13">
    <w:abstractNumId w:val="6"/>
  </w:num>
  <w:num w:numId="14">
    <w:abstractNumId w:val="5"/>
  </w:num>
  <w:num w:numId="15">
    <w:abstractNumId w:val="17"/>
  </w:num>
  <w:num w:numId="16">
    <w:abstractNumId w:val="24"/>
  </w:num>
  <w:num w:numId="17">
    <w:abstractNumId w:val="22"/>
  </w:num>
  <w:num w:numId="18">
    <w:abstractNumId w:val="26"/>
  </w:num>
  <w:num w:numId="19">
    <w:abstractNumId w:val="2"/>
  </w:num>
  <w:num w:numId="20">
    <w:abstractNumId w:val="14"/>
  </w:num>
  <w:num w:numId="21">
    <w:abstractNumId w:val="9"/>
  </w:num>
  <w:num w:numId="22">
    <w:abstractNumId w:val="11"/>
  </w:num>
  <w:num w:numId="23">
    <w:abstractNumId w:val="19"/>
  </w:num>
  <w:num w:numId="24">
    <w:abstractNumId w:val="32"/>
  </w:num>
  <w:num w:numId="25">
    <w:abstractNumId w:val="29"/>
  </w:num>
  <w:num w:numId="26">
    <w:abstractNumId w:val="8"/>
  </w:num>
  <w:num w:numId="27">
    <w:abstractNumId w:val="20"/>
  </w:num>
  <w:num w:numId="28">
    <w:abstractNumId w:val="10"/>
  </w:num>
  <w:num w:numId="29">
    <w:abstractNumId w:val="27"/>
  </w:num>
  <w:num w:numId="30">
    <w:abstractNumId w:val="27"/>
    <w:lvlOverride w:ilvl="0">
      <w:lvl w:ilvl="0">
        <w:start w:val="1"/>
        <w:numFmt w:val="decimal"/>
        <w:isLgl w:val="false"/>
        <w:suff w:val="tab"/>
        <w:lvlText w:val="3.%1. "/>
        <w:legacy w:legacy="1" w:legacyIndent="0" w:legacySpace="0"/>
        <w:lvlJc w:val="left"/>
        <w:pPr>
          <w:pStyle w:val="926"/>
          <w:ind w:left="283" w:hanging="283"/>
        </w:pPr>
        <w:rPr>
          <w:rFonts w:ascii="Times New Roman" w:hAnsi="Times New Roman"/>
          <w:b w:val="false"/>
          <w:i w:val="false"/>
          <w:sz w:val="28"/>
          <w:szCs w:val="28"/>
          <w:u w:val="none"/>
        </w:rPr>
      </w:lvl>
    </w:lvlOverride>
  </w:num>
  <w:num w:numId="31">
    <w:abstractNumId w:val="23"/>
  </w:num>
  <w:num w:numId="32">
    <w:abstractNumId w:val="23"/>
    <w:lvlOverride w:ilvl="0">
      <w:lvl w:ilvl="0">
        <w:start w:val="1"/>
        <w:numFmt w:val="decimal"/>
        <w:isLgl w:val="false"/>
        <w:suff w:val="tab"/>
        <w:lvlText w:val="3.%1. "/>
        <w:legacy w:legacy="1" w:legacyIndent="0" w:legacySpace="0"/>
        <w:lvlJc w:val="left"/>
        <w:pPr>
          <w:pStyle w:val="926"/>
          <w:ind w:left="283" w:hanging="283"/>
        </w:pPr>
        <w:rPr>
          <w:rFonts w:ascii="Times New Roman" w:hAnsi="Times New Roman"/>
          <w:b w:val="false"/>
          <w:i w:val="false"/>
          <w:sz w:val="28"/>
          <w:szCs w:val="28"/>
          <w:u w:val="none"/>
        </w:rPr>
      </w:lvl>
    </w:lvlOverride>
  </w:num>
  <w:num w:numId="33">
    <w:abstractNumId w:val="25"/>
  </w:num>
  <w:num w:numId="34">
    <w:abstractNumId w:val="13"/>
  </w:num>
  <w:num w:numId="3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link w:val="74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749">
    <w:name w:val="Heading 1 Char"/>
    <w:link w:val="748"/>
    <w:uiPriority w:val="9"/>
    <w:rPr>
      <w:rFonts w:ascii="Arial" w:hAnsi="Arial" w:cs="Arial" w:eastAsia="Arial"/>
      <w:sz w:val="40"/>
      <w:szCs w:val="40"/>
    </w:rPr>
  </w:style>
  <w:style w:type="paragraph" w:styleId="750">
    <w:name w:val="Heading 2"/>
    <w:link w:val="75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751">
    <w:name w:val="Heading 2 Char"/>
    <w:link w:val="750"/>
    <w:uiPriority w:val="9"/>
    <w:rPr>
      <w:rFonts w:ascii="Arial" w:hAnsi="Arial" w:cs="Arial" w:eastAsia="Arial"/>
      <w:sz w:val="34"/>
    </w:rPr>
  </w:style>
  <w:style w:type="paragraph" w:styleId="752">
    <w:name w:val="Heading 3"/>
    <w:link w:val="75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753">
    <w:name w:val="Heading 3 Char"/>
    <w:link w:val="752"/>
    <w:uiPriority w:val="9"/>
    <w:rPr>
      <w:rFonts w:ascii="Arial" w:hAnsi="Arial" w:cs="Arial" w:eastAsia="Arial"/>
      <w:sz w:val="30"/>
      <w:szCs w:val="30"/>
    </w:rPr>
  </w:style>
  <w:style w:type="paragraph" w:styleId="754">
    <w:name w:val="Heading 4"/>
    <w:link w:val="75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755">
    <w:name w:val="Heading 4 Char"/>
    <w:link w:val="754"/>
    <w:uiPriority w:val="9"/>
    <w:rPr>
      <w:rFonts w:ascii="Arial" w:hAnsi="Arial" w:cs="Arial" w:eastAsia="Arial"/>
      <w:b/>
      <w:bCs/>
      <w:sz w:val="26"/>
      <w:szCs w:val="26"/>
    </w:rPr>
  </w:style>
  <w:style w:type="paragraph" w:styleId="756">
    <w:name w:val="Heading 5"/>
    <w:link w:val="75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757">
    <w:name w:val="Heading 5 Char"/>
    <w:link w:val="756"/>
    <w:uiPriority w:val="9"/>
    <w:rPr>
      <w:rFonts w:ascii="Arial" w:hAnsi="Arial" w:cs="Arial" w:eastAsia="Arial"/>
      <w:b/>
      <w:bCs/>
      <w:sz w:val="24"/>
      <w:szCs w:val="24"/>
    </w:rPr>
  </w:style>
  <w:style w:type="paragraph" w:styleId="758">
    <w:name w:val="Heading 6"/>
    <w:link w:val="75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59">
    <w:name w:val="Heading 6 Char"/>
    <w:link w:val="758"/>
    <w:uiPriority w:val="9"/>
    <w:rPr>
      <w:rFonts w:ascii="Arial" w:hAnsi="Arial" w:cs="Arial" w:eastAsia="Arial"/>
      <w:b/>
      <w:bCs/>
      <w:sz w:val="22"/>
      <w:szCs w:val="22"/>
    </w:rPr>
  </w:style>
  <w:style w:type="paragraph" w:styleId="760">
    <w:name w:val="Heading 7"/>
    <w:link w:val="76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61">
    <w:name w:val="Heading 7 Char"/>
    <w:link w:val="76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62">
    <w:name w:val="Heading 8"/>
    <w:link w:val="76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63">
    <w:name w:val="Heading 8 Char"/>
    <w:link w:val="762"/>
    <w:uiPriority w:val="9"/>
    <w:rPr>
      <w:rFonts w:ascii="Arial" w:hAnsi="Arial" w:cs="Arial" w:eastAsia="Arial"/>
      <w:i/>
      <w:iCs/>
      <w:sz w:val="22"/>
      <w:szCs w:val="22"/>
    </w:rPr>
  </w:style>
  <w:style w:type="paragraph" w:styleId="764">
    <w:name w:val="Heading 9"/>
    <w:link w:val="76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65">
    <w:name w:val="Heading 9 Char"/>
    <w:link w:val="764"/>
    <w:uiPriority w:val="9"/>
    <w:rPr>
      <w:rFonts w:ascii="Arial" w:hAnsi="Arial" w:cs="Arial" w:eastAsia="Arial"/>
      <w:i/>
      <w:iCs/>
      <w:sz w:val="21"/>
      <w:szCs w:val="21"/>
    </w:rPr>
  </w:style>
  <w:style w:type="paragraph" w:styleId="766">
    <w:name w:val="List Paragraph"/>
    <w:qFormat/>
    <w:uiPriority w:val="34"/>
    <w:pPr>
      <w:contextualSpacing w:val="true"/>
      <w:ind w:left="720"/>
    </w:pPr>
  </w:style>
  <w:style w:type="paragraph" w:styleId="767">
    <w:name w:val="No Spacing"/>
    <w:qFormat/>
    <w:uiPriority w:val="1"/>
    <w:pPr>
      <w:spacing w:lineRule="auto" w:line="240" w:after="0" w:before="0"/>
    </w:pPr>
  </w:style>
  <w:style w:type="paragraph" w:styleId="768">
    <w:name w:val="Title"/>
    <w:link w:val="76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69">
    <w:name w:val="Title Char"/>
    <w:link w:val="768"/>
    <w:uiPriority w:val="10"/>
    <w:rPr>
      <w:sz w:val="48"/>
      <w:szCs w:val="48"/>
    </w:rPr>
  </w:style>
  <w:style w:type="paragraph" w:styleId="770">
    <w:name w:val="Subtitle"/>
    <w:link w:val="771"/>
    <w:qFormat/>
    <w:uiPriority w:val="11"/>
    <w:rPr>
      <w:sz w:val="24"/>
      <w:szCs w:val="24"/>
    </w:rPr>
    <w:pPr>
      <w:spacing w:after="200" w:before="200"/>
    </w:pPr>
  </w:style>
  <w:style w:type="character" w:styleId="771">
    <w:name w:val="Subtitle Char"/>
    <w:link w:val="770"/>
    <w:uiPriority w:val="11"/>
    <w:rPr>
      <w:sz w:val="24"/>
      <w:szCs w:val="24"/>
    </w:rPr>
  </w:style>
  <w:style w:type="paragraph" w:styleId="772">
    <w:name w:val="Quote"/>
    <w:link w:val="773"/>
    <w:qFormat/>
    <w:uiPriority w:val="29"/>
    <w:rPr>
      <w:i/>
    </w:rPr>
    <w:pPr>
      <w:ind w:left="720" w:right="720"/>
    </w:pPr>
  </w:style>
  <w:style w:type="character" w:styleId="773">
    <w:name w:val="Quote Char"/>
    <w:link w:val="772"/>
    <w:uiPriority w:val="29"/>
    <w:rPr>
      <w:i/>
    </w:rPr>
  </w:style>
  <w:style w:type="paragraph" w:styleId="774">
    <w:name w:val="Intense Quote"/>
    <w:link w:val="77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75">
    <w:name w:val="Intense Quote Char"/>
    <w:link w:val="774"/>
    <w:uiPriority w:val="30"/>
    <w:rPr>
      <w:i/>
    </w:rPr>
  </w:style>
  <w:style w:type="paragraph" w:styleId="776">
    <w:name w:val="Header"/>
    <w:link w:val="77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77">
    <w:name w:val="Header Char"/>
    <w:link w:val="776"/>
    <w:uiPriority w:val="99"/>
  </w:style>
  <w:style w:type="paragraph" w:styleId="778">
    <w:name w:val="Footer"/>
    <w:link w:val="78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79">
    <w:name w:val="Footer Char"/>
    <w:link w:val="778"/>
    <w:uiPriority w:val="99"/>
  </w:style>
  <w:style w:type="paragraph" w:styleId="780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81">
    <w:name w:val="Caption Char"/>
    <w:basedOn w:val="780"/>
    <w:link w:val="778"/>
    <w:uiPriority w:val="99"/>
  </w:style>
  <w:style w:type="table" w:styleId="78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8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9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9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9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0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0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0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0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1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1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1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1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1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1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1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1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2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2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2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2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2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3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3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3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3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3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3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3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3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4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4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4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4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4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4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4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4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4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4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5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5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5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7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7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7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7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7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7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8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8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8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9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9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9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9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9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9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9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9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9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9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90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90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0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0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0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0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0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0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908">
    <w:name w:val="Hyperlink"/>
    <w:uiPriority w:val="99"/>
    <w:unhideWhenUsed/>
    <w:rPr>
      <w:color w:val="0000FF" w:themeColor="hyperlink"/>
      <w:u w:val="single"/>
    </w:rPr>
  </w:style>
  <w:style w:type="paragraph" w:styleId="909">
    <w:name w:val="footnote text"/>
    <w:link w:val="910"/>
    <w:uiPriority w:val="99"/>
    <w:semiHidden/>
    <w:unhideWhenUsed/>
    <w:rPr>
      <w:sz w:val="18"/>
    </w:rPr>
    <w:pPr>
      <w:spacing w:lineRule="auto" w:line="240" w:after="40"/>
    </w:pPr>
  </w:style>
  <w:style w:type="character" w:styleId="910">
    <w:name w:val="Footnote Text Char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endnote text"/>
    <w:link w:val="913"/>
    <w:uiPriority w:val="99"/>
    <w:semiHidden/>
    <w:unhideWhenUsed/>
    <w:rPr>
      <w:sz w:val="20"/>
    </w:rPr>
    <w:pPr>
      <w:spacing w:lineRule="auto" w:line="240" w:after="0"/>
    </w:pPr>
  </w:style>
  <w:style w:type="character" w:styleId="913">
    <w:name w:val="Endnote Text Char"/>
    <w:link w:val="912"/>
    <w:uiPriority w:val="99"/>
    <w:rPr>
      <w:sz w:val="20"/>
    </w:rPr>
  </w:style>
  <w:style w:type="character" w:styleId="914">
    <w:name w:val="endnote reference"/>
    <w:uiPriority w:val="99"/>
    <w:semiHidden/>
    <w:unhideWhenUsed/>
    <w:rPr>
      <w:vertAlign w:val="superscript"/>
    </w:rPr>
  </w:style>
  <w:style w:type="paragraph" w:styleId="915">
    <w:name w:val="toc 1"/>
    <w:uiPriority w:val="39"/>
    <w:unhideWhenUsed/>
    <w:pPr>
      <w:ind w:left="0" w:right="0" w:firstLine="0"/>
      <w:spacing w:after="57"/>
    </w:pPr>
  </w:style>
  <w:style w:type="paragraph" w:styleId="916">
    <w:name w:val="toc 2"/>
    <w:uiPriority w:val="39"/>
    <w:unhideWhenUsed/>
    <w:pPr>
      <w:ind w:left="283" w:right="0" w:firstLine="0"/>
      <w:spacing w:after="57"/>
    </w:pPr>
  </w:style>
  <w:style w:type="paragraph" w:styleId="917">
    <w:name w:val="toc 3"/>
    <w:uiPriority w:val="39"/>
    <w:unhideWhenUsed/>
    <w:pPr>
      <w:ind w:left="567" w:right="0" w:firstLine="0"/>
      <w:spacing w:after="57"/>
    </w:pPr>
  </w:style>
  <w:style w:type="paragraph" w:styleId="918">
    <w:name w:val="toc 4"/>
    <w:uiPriority w:val="39"/>
    <w:unhideWhenUsed/>
    <w:pPr>
      <w:ind w:left="850" w:right="0" w:firstLine="0"/>
      <w:spacing w:after="57"/>
    </w:pPr>
  </w:style>
  <w:style w:type="paragraph" w:styleId="919">
    <w:name w:val="toc 5"/>
    <w:uiPriority w:val="39"/>
    <w:unhideWhenUsed/>
    <w:pPr>
      <w:ind w:left="1134" w:right="0" w:firstLine="0"/>
      <w:spacing w:after="57"/>
    </w:pPr>
  </w:style>
  <w:style w:type="paragraph" w:styleId="920">
    <w:name w:val="toc 6"/>
    <w:uiPriority w:val="39"/>
    <w:unhideWhenUsed/>
    <w:pPr>
      <w:ind w:left="1417" w:right="0" w:firstLine="0"/>
      <w:spacing w:after="57"/>
    </w:pPr>
  </w:style>
  <w:style w:type="paragraph" w:styleId="921">
    <w:name w:val="toc 7"/>
    <w:uiPriority w:val="39"/>
    <w:unhideWhenUsed/>
    <w:pPr>
      <w:ind w:left="1701" w:right="0" w:firstLine="0"/>
      <w:spacing w:after="57"/>
    </w:pPr>
  </w:style>
  <w:style w:type="paragraph" w:styleId="922">
    <w:name w:val="toc 8"/>
    <w:uiPriority w:val="39"/>
    <w:unhideWhenUsed/>
    <w:pPr>
      <w:ind w:left="1984" w:right="0" w:firstLine="0"/>
      <w:spacing w:after="57"/>
    </w:pPr>
  </w:style>
  <w:style w:type="paragraph" w:styleId="923">
    <w:name w:val="toc 9"/>
    <w:uiPriority w:val="39"/>
    <w:unhideWhenUsed/>
    <w:pPr>
      <w:ind w:left="2268" w:right="0" w:firstLine="0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uiPriority w:val="99"/>
    <w:unhideWhenUsed/>
    <w:pPr>
      <w:spacing w:after="0" w:afterAutospacing="0"/>
    </w:pPr>
  </w:style>
  <w:style w:type="paragraph" w:styleId="926">
    <w:name w:val="Обычный"/>
    <w:next w:val="926"/>
    <w:link w:val="926"/>
    <w:rPr>
      <w:lang w:val="uk-UA" w:bidi="ar-SA" w:eastAsia="ru-RU"/>
    </w:rPr>
  </w:style>
  <w:style w:type="paragraph" w:styleId="927">
    <w:name w:val="Заголовок 1"/>
    <w:basedOn w:val="926"/>
    <w:next w:val="926"/>
    <w:link w:val="926"/>
    <w:rPr>
      <w:b/>
      <w:sz w:val="24"/>
    </w:rPr>
    <w:pPr>
      <w:ind w:left="5387"/>
      <w:keepNext/>
      <w:outlineLvl w:val="0"/>
    </w:pPr>
  </w:style>
  <w:style w:type="paragraph" w:styleId="928">
    <w:name w:val="Заголовок 2"/>
    <w:basedOn w:val="926"/>
    <w:next w:val="926"/>
    <w:link w:val="926"/>
    <w:rPr>
      <w:b/>
      <w:sz w:val="24"/>
    </w:rPr>
    <w:pPr>
      <w:jc w:val="center"/>
      <w:keepNext/>
      <w:outlineLvl w:val="1"/>
    </w:pPr>
  </w:style>
  <w:style w:type="paragraph" w:styleId="929">
    <w:name w:val="Заголовок 3"/>
    <w:basedOn w:val="926"/>
    <w:next w:val="926"/>
    <w:link w:val="926"/>
    <w:rPr>
      <w:b/>
      <w:sz w:val="28"/>
    </w:rPr>
    <w:pPr>
      <w:jc w:val="center"/>
      <w:keepNext/>
      <w:outlineLvl w:val="2"/>
    </w:pPr>
  </w:style>
  <w:style w:type="paragraph" w:styleId="930">
    <w:name w:val="Заголовок 4"/>
    <w:basedOn w:val="926"/>
    <w:next w:val="926"/>
    <w:link w:val="926"/>
    <w:rPr>
      <w:b/>
      <w:sz w:val="24"/>
    </w:rPr>
    <w:pPr>
      <w:ind w:left="709"/>
      <w:keepNext/>
      <w:outlineLvl w:val="3"/>
    </w:pPr>
  </w:style>
  <w:style w:type="paragraph" w:styleId="931">
    <w:name w:val="Заголовок 5"/>
    <w:basedOn w:val="926"/>
    <w:next w:val="926"/>
    <w:link w:val="936"/>
    <w:rPr>
      <w:rFonts w:ascii="Calibri" w:hAnsi="Calibri"/>
      <w:b/>
      <w:bCs/>
      <w:i/>
      <w:iCs/>
      <w:sz w:val="26"/>
      <w:szCs w:val="26"/>
    </w:rPr>
    <w:pPr>
      <w:spacing w:after="60" w:before="240"/>
      <w:outlineLvl w:val="4"/>
    </w:pPr>
  </w:style>
  <w:style w:type="character" w:styleId="932">
    <w:name w:val="Основной шрифт абзаца"/>
    <w:next w:val="932"/>
    <w:link w:val="926"/>
    <w:semiHidden/>
  </w:style>
  <w:style w:type="table" w:styleId="933">
    <w:name w:val="Обычная таблица"/>
    <w:next w:val="933"/>
    <w:link w:val="926"/>
    <w:semiHidden/>
    <w:tblPr/>
  </w:style>
  <w:style w:type="numbering" w:styleId="934">
    <w:name w:val="Нет списка"/>
    <w:next w:val="934"/>
    <w:link w:val="926"/>
    <w:semiHidden/>
  </w:style>
  <w:style w:type="paragraph" w:styleId="935">
    <w:name w:val="Основной текст"/>
    <w:basedOn w:val="926"/>
    <w:next w:val="935"/>
    <w:link w:val="926"/>
    <w:semiHidden/>
    <w:rPr>
      <w:sz w:val="24"/>
    </w:rPr>
  </w:style>
  <w:style w:type="character" w:styleId="936">
    <w:name w:val="Заголовок 5 Знак"/>
    <w:next w:val="936"/>
    <w:link w:val="931"/>
    <w:semiHidden/>
    <w:rPr>
      <w:rFonts w:ascii="Calibri" w:hAnsi="Calibri" w:eastAsia="Times New Roman"/>
      <w:b/>
      <w:bCs/>
      <w:i/>
      <w:iCs/>
      <w:sz w:val="26"/>
      <w:szCs w:val="26"/>
      <w:lang w:val="uk-UA" w:eastAsia="ru-RU"/>
    </w:rPr>
  </w:style>
  <w:style w:type="paragraph" w:styleId="937">
    <w:name w:val="Текст выноски"/>
    <w:basedOn w:val="926"/>
    <w:next w:val="937"/>
    <w:link w:val="938"/>
    <w:semiHidden/>
    <w:rPr>
      <w:rFonts w:ascii="Segoe UI" w:hAnsi="Segoe UI"/>
      <w:sz w:val="18"/>
      <w:szCs w:val="18"/>
    </w:rPr>
  </w:style>
  <w:style w:type="character" w:styleId="938">
    <w:name w:val="Текст выноски Знак"/>
    <w:next w:val="938"/>
    <w:link w:val="937"/>
    <w:semiHidden/>
    <w:rPr>
      <w:rFonts w:ascii="Segoe UI" w:hAnsi="Segoe UI"/>
      <w:sz w:val="18"/>
      <w:szCs w:val="18"/>
      <w:lang w:val="uk-UA" w:eastAsia="ru-RU"/>
    </w:rPr>
  </w:style>
  <w:style w:type="paragraph" w:styleId="939">
    <w:name w:val="Основной текст с отступом"/>
    <w:basedOn w:val="926"/>
    <w:next w:val="939"/>
    <w:link w:val="926"/>
    <w:pPr>
      <w:ind w:left="283"/>
      <w:spacing w:after="120"/>
    </w:pPr>
  </w:style>
  <w:style w:type="paragraph" w:styleId="940">
    <w:name w:val="Основной текст с отступом 2"/>
    <w:basedOn w:val="926"/>
    <w:next w:val="940"/>
    <w:link w:val="926"/>
    <w:pPr>
      <w:ind w:left="283"/>
      <w:spacing w:lineRule="auto" w:line="480" w:after="120"/>
    </w:pPr>
  </w:style>
  <w:style w:type="paragraph" w:styleId="941">
    <w:name w:val="Основной текст с отступом 3"/>
    <w:basedOn w:val="926"/>
    <w:next w:val="941"/>
    <w:link w:val="926"/>
    <w:rPr>
      <w:sz w:val="16"/>
      <w:szCs w:val="16"/>
    </w:rPr>
    <w:pPr>
      <w:ind w:left="283"/>
      <w:spacing w:after="120"/>
    </w:pPr>
  </w:style>
  <w:style w:type="paragraph" w:styleId="942">
    <w:name w:val="Название"/>
    <w:basedOn w:val="926"/>
    <w:next w:val="942"/>
    <w:link w:val="926"/>
    <w:rPr>
      <w:sz w:val="28"/>
      <w:szCs w:val="28"/>
    </w:rPr>
    <w:pPr>
      <w:jc w:val="center"/>
    </w:pPr>
  </w:style>
  <w:style w:type="character" w:styleId="943" w:default="1">
    <w:name w:val="Default Paragraph Font"/>
    <w:uiPriority w:val="1"/>
    <w:semiHidden/>
    <w:unhideWhenUsed/>
  </w:style>
  <w:style w:type="numbering" w:styleId="944" w:default="1">
    <w:name w:val="No List"/>
    <w:uiPriority w:val="99"/>
    <w:semiHidden/>
    <w:unhideWhenUsed/>
  </w:style>
  <w:style w:type="paragraph" w:styleId="945" w:default="1">
    <w:name w:val="Normal"/>
    <w:qFormat/>
  </w:style>
  <w:style w:type="table" w:styleId="9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2</cp:revision>
  <dcterms:modified xsi:type="dcterms:W3CDTF">2021-12-05T12:29:55Z</dcterms:modified>
</cp:coreProperties>
</file>