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МЕН</w:t>
      </w:r>
      <w:r>
        <w:rPr>
          <w:b/>
          <w:bCs/>
          <w:sz w:val="28"/>
          <w:szCs w:val="28"/>
        </w:rPr>
        <w:t xml:space="preserve">СЬКА МІСЬКА РАДА</w:t>
      </w:r>
      <w:r>
        <w:rPr>
          <w:sz w:val="28"/>
          <w:szCs w:val="28"/>
        </w:rPr>
      </w:r>
      <w:r/>
    </w:p>
    <w:p>
      <w:pPr>
        <w:pStyle w:val="63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633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4"/>
        <w:jc w:val="center"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r/>
    </w:p>
    <w:p>
      <w:pPr>
        <w:pStyle w:val="63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ind w:right="91"/>
        <w:jc w:val="center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1"/>
        <w:keepNext/>
        <w:widowControl/>
        <w:rPr>
          <w:rFonts w:ascii="Times New Roman" w:hAnsi="Times New Roman"/>
          <w:caps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/>
          <w:color w:val="000000"/>
          <w:spacing w:val="0"/>
          <w:sz w:val="28"/>
          <w:szCs w:val="28"/>
        </w:rPr>
        <w:t xml:space="preserve">Інструкція</w:t>
      </w:r>
      <w:r/>
    </w:p>
    <w:p>
      <w:pPr>
        <w:pStyle w:val="634"/>
        <w:ind w:left="0"/>
        <w:jc w:val="center"/>
        <w:rPr>
          <w:b w:val="false"/>
          <w:caps/>
          <w:sz w:val="28"/>
          <w:szCs w:val="28"/>
        </w:rPr>
      </w:pPr>
      <w:r>
        <w:rPr>
          <w:caps/>
          <w:sz w:val="28"/>
          <w:szCs w:val="28"/>
        </w:rPr>
        <w:t xml:space="preserve">з охорони праці № 7</w:t>
      </w:r>
      <w:r>
        <w:rPr>
          <w:b w:val="false"/>
          <w:caps/>
          <w:sz w:val="28"/>
          <w:szCs w:val="28"/>
        </w:rPr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при роботі з </w:t>
      </w:r>
      <w:r/>
    </w:p>
    <w:p>
      <w:pPr>
        <w:pStyle w:val="633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персональним комп'ютером</w:t>
      </w:r>
      <w:r/>
    </w:p>
    <w:p>
      <w:pPr>
        <w:pStyle w:val="633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center"/>
        <w:keepNext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633"/>
        <w:jc w:val="center"/>
        <w:rPr>
          <w:sz w:val="28"/>
          <w:szCs w:val="28"/>
          <w:lang w:val="ru-RU"/>
        </w:rPr>
      </w:pPr>
      <w:r>
        <w:rPr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33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3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633"/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633"/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</w:t>
      </w:r>
      <w:r/>
    </w:p>
    <w:p>
      <w:pPr>
        <w:pStyle w:val="633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29 листопада 2021 року № 436</w:t>
      </w:r>
      <w:r/>
    </w:p>
    <w:p>
      <w:pPr>
        <w:pStyle w:val="633"/>
        <w:ind w:left="630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numPr>
          <w:ilvl w:val="2"/>
          <w:numId w:val="18"/>
        </w:numPr>
        <w:jc w:val="center"/>
        <w:keepNext/>
        <w:rPr>
          <w:b/>
          <w:caps/>
          <w:sz w:val="28"/>
          <w:szCs w:val="28"/>
        </w:rPr>
        <w:outlineLvl w:val="2"/>
      </w:pPr>
      <w:r>
        <w:rPr>
          <w:b/>
          <w:caps/>
          <w:sz w:val="28"/>
          <w:szCs w:val="28"/>
        </w:rPr>
        <w:t xml:space="preserve">ІНСТРУКЦІЯ № 7</w:t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із питань охорони праці при роботі з </w:t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персональним комп'ютером</w:t>
      </w:r>
      <w:r/>
    </w:p>
    <w:p>
      <w:pPr>
        <w:pStyle w:val="633"/>
        <w:ind w:firstLine="72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/>
    </w:p>
    <w:p>
      <w:pPr>
        <w:pStyle w:val="63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І. Загальні положення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1.1. Інструкція інструктажу з питань охорони праці при роб</w:t>
      </w:r>
      <w:r>
        <w:rPr>
          <w:color w:val="000000"/>
          <w:sz w:val="28"/>
          <w:szCs w:val="28"/>
        </w:rPr>
        <w:t xml:space="preserve">оті з персональним комп'ютером в міської ради (далі - Інструкція) встановлює основні вимоги щодо забезпечення охорони праці, техніки безпеки, пожежної безпеки при роботі з персональним комп’ютером (далі – ПК) і поширюється на всіх працівників міської ради.</w:t>
      </w:r>
      <w:r>
        <w:rPr>
          <w:sz w:val="28"/>
          <w:szCs w:val="28"/>
        </w:rPr>
      </w:r>
      <w:r/>
    </w:p>
    <w:p>
      <w:pPr>
        <w:pStyle w:val="633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Інструкція використовується під час проведення первинного, повторного, позапланового, цільового інструктажів працівників </w:t>
      </w:r>
      <w:r>
        <w:rPr>
          <w:color w:val="000000"/>
          <w:sz w:val="28"/>
          <w:szCs w:val="28"/>
        </w:rPr>
        <w:t xml:space="preserve">міської ради</w:t>
      </w:r>
      <w:r>
        <w:rPr>
          <w:sz w:val="28"/>
          <w:szCs w:val="28"/>
        </w:rPr>
        <w:t xml:space="preserve">. 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Під час роботи на ПК, до складу яких входять відеотермінали (дисплеї), на працівників </w:t>
      </w:r>
      <w:r>
        <w:rPr>
          <w:color w:val="000000"/>
          <w:sz w:val="28"/>
          <w:szCs w:val="28"/>
        </w:rPr>
        <w:t xml:space="preserve">міської ради</w:t>
      </w:r>
      <w:r>
        <w:rPr>
          <w:sz w:val="28"/>
          <w:szCs w:val="28"/>
        </w:rPr>
        <w:t xml:space="preserve"> можуть діяти такі небезпечні та шкідливі виробничі фактори: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Підвищений рівень електромагнітного, рентгенівського, ультрафіолетового та інфрачервоного випромінювань.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1.3.2. Підвищений рівень статичної електрики.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Підвищений рівень запиленості та аероіонів у повітрі робочої зони.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Підвищене значення напруги в електричному ланцюзі, замикання якого може статися через тіло людини.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1.3.5. Підвищений рівень шуму (від вентиляторів, аудіоплат тощо).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1.3.6. Несприятливий розподіл яскравості в полі зору.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1.3.7. Фізичні та нервово-психічні перевантаження (розумове перенапруження, перенапруження аналізаторів, монотонність праці, емоційні перевантаження).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Внутрішньозмінні режими праці і відпочинку мають передбачити додаткові нетривалі перерви в періоди, що передують появі об’єктивних і суб'єктивних ознак втоми та зниження працездатності.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При виконанні протягом дня робіт, що належать до різних видів трудової діяльності, за основу роботи з ПК слід вважати таку, що займає не менше 50% часу впродовж робочого дня.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Екран відеотермінала повинен знаходитися не ближче 600 мм від очей користувача (пропонується – 600-700 мм).</w:t>
      </w:r>
      <w:r>
        <w:rPr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Висота робочої поверхні стола має бути в межах 680-800 мм. Стіл повинен мати простір для ніг шириною не менше 500 мм, глибиною на рівні колін не менше 450 мм і на рівні витягнутих ніг не менше 650 мм.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Клавіатуру слід розташовувати на поверхні стола на відстані 100-300 мм від краю, повернутого до користувача. Під електричні принтери необхідно підкладати килимки для гасіння вібрації та шуму.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1.9. Для зменшення несприятливого впливу на користувача пристроїв типу «миша» (вимушена поза, необхідність постійного контролю за якістю дій) потрібно забезпечити велику вільну поверхню стола для переміщення «миші» і зручного упору ліктьового суглоба.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1.10. У приміщеннях з ПК слід щоденно проводити вологе прибирання.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1.11. Неприпустимим є підключення ПК і периферійних пристроїв до звичайної двопровідної електромережі, в тому числі з використанням перехідних пристроїв.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У приміщеннях, де одночасно експлуатуються більше п’яти ПК, повинен бути встановлений аварійний резервний вимикач.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numPr>
          <w:ilvl w:val="0"/>
          <w:numId w:val="18"/>
        </w:numPr>
        <w:jc w:val="center"/>
        <w:keepNext/>
        <w:rPr>
          <w:bCs/>
          <w:sz w:val="28"/>
          <w:szCs w:val="28"/>
        </w:rPr>
        <w:outlineLvl w:val="0"/>
      </w:pPr>
      <w:r>
        <w:rPr>
          <w:sz w:val="28"/>
          <w:szCs w:val="28"/>
        </w:rPr>
        <w:t xml:space="preserve">ІІ. Вимоги безпеки перед початком роботи</w:t>
      </w:r>
      <w:r>
        <w:rPr>
          <w:bCs/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Оглянути робоче місце, перевірити, чи достатньо воно освітлене, та прибрати сторонні предмети. Перевірити правильність розміщення стола, стільця та апаратури </w:t>
      </w:r>
      <w:r>
        <w:rPr>
          <w:iCs/>
          <w:sz w:val="28"/>
          <w:szCs w:val="28"/>
        </w:rPr>
        <w:t xml:space="preserve">(відеотермінал і процесорний блок повинні стояти не на краю стола, положення клавіатури та відеотермінала й кути їх нахилу мають відповідати побажанням користувача).</w:t>
      </w:r>
      <w:r>
        <w:rPr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2.2. </w:t>
      </w:r>
      <w:r>
        <w:rPr>
          <w:sz w:val="28"/>
          <w:szCs w:val="28"/>
        </w:rPr>
        <w:t xml:space="preserve">Візуально перевірити загальний стан апаратури, справність електропроводки, з’єднувальних шнурів, штепсельних вилок, розеток.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 Приєднати (за необхідності) до системного блока необхідну периферійну апаратуру  </w:t>
      </w:r>
      <w:r>
        <w:rPr>
          <w:iCs/>
          <w:sz w:val="28"/>
          <w:szCs w:val="28"/>
        </w:rPr>
        <w:t xml:space="preserve">(усі кабелі, що з’єднують системний блок з іншими пристроями, </w:t>
      </w:r>
      <w:r>
        <w:rPr>
          <w:sz w:val="28"/>
          <w:szCs w:val="28"/>
        </w:rPr>
        <w:t xml:space="preserve">слід вставляти та виймати тільки при вимкненому ПК й інших його пристроях).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При виявленні будь-яких несправностей роботу не розпочинати та повідомити про це свого безпосереднього керівника.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Підключити ПК до мережі електроживлення трьохполюсною вилкою, яка має заземлення.</w:t>
      </w:r>
      <w:r/>
    </w:p>
    <w:p>
      <w:pPr>
        <w:pStyle w:val="633"/>
        <w:numPr>
          <w:ilvl w:val="0"/>
          <w:numId w:val="18"/>
        </w:numPr>
        <w:jc w:val="center"/>
        <w:keepNext/>
        <w:spacing w:after="60" w:before="240"/>
        <w:rPr>
          <w:bCs/>
          <w:sz w:val="28"/>
          <w:szCs w:val="28"/>
        </w:rPr>
        <w:outlineLvl w:val="0"/>
      </w:pPr>
      <w:r>
        <w:rPr>
          <w:sz w:val="28"/>
          <w:szCs w:val="28"/>
        </w:rPr>
        <w:t xml:space="preserve">ІІІ. Вимоги безпеки під час виконання роботи</w:t>
      </w:r>
      <w:r>
        <w:rPr>
          <w:bCs/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Увімкнути апаратуру ПК вимикачами на корпусах у послідовності: периферійне обладнання </w:t>
      </w:r>
      <w:r>
        <w:rPr>
          <w:iCs/>
          <w:sz w:val="28"/>
          <w:szCs w:val="28"/>
        </w:rPr>
        <w:t xml:space="preserve">(принтер, сканер тощо), </w:t>
      </w:r>
      <w:r>
        <w:rPr>
          <w:sz w:val="28"/>
          <w:szCs w:val="28"/>
        </w:rPr>
        <w:t xml:space="preserve">відеотермінал, процесорний блок.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Відрегулювати яскравість свічення екрана відеотермінала, мінімальний розмір світної точки, фокусування, контрастність.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При роботі з текстовою інформацією </w:t>
      </w:r>
      <w:r>
        <w:rPr>
          <w:iCs/>
          <w:sz w:val="28"/>
          <w:szCs w:val="28"/>
        </w:rPr>
        <w:t xml:space="preserve">(у режимі введення даних, редагування тексту та читання з екрана відеотермінала)</w:t>
      </w:r>
      <w:r>
        <w:rPr>
          <w:sz w:val="28"/>
          <w:szCs w:val="28"/>
        </w:rPr>
        <w:t xml:space="preserve"> найбільш фізіологічним є зображення чорних знаків на світлому фоні.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Для нейтралізації зарядів статичної електрики у приміщенні, де виконуються роботи на ПК, доцільно збільшувати вологість повітря за допомогою кімнатних зволожувачів. Не бажано носити одяг із синтетичних матеріалів.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Для зниження напруженості праці на ПК необхідно рівномірно розподіляти характер робіт відповідно до їх складності</w:t>
      </w:r>
      <w:r>
        <w:rPr>
          <w:iCs/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Під час експлуатації лазерних принтерів забороняється: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3.6.1. Використовувати папір, питома вага якого виходить за межі рекомендованої.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3.6.2. Використовувати рваний, зморщений або папір з нерегулярними отворами від діркопробивача чи степлера.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зминанні паперу відкрити кришку і обережно витягнути лоток з папером. Доцільно також бути уважним, щоб не обпектися під час витягання аркуша із термозакріплюючого пристрою.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Необхідно дотримуватися правил зберігання картриджів згідно з інструкцією виробника. Забороняється: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3.7.1. Зберігати картридж без упаковки.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3.7.2. Ставити картридж вертикально.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3.7.3. Перевертати картридж етикеткою донизу, відкривати кришку валика та торкатися її.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3.7.4. Самому заповнювати використаний картридж.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Для зменшення негативного впливу на здоров’я працівників </w:t>
      </w:r>
      <w:r>
        <w:rPr>
          <w:color w:val="000000"/>
          <w:sz w:val="28"/>
          <w:szCs w:val="28"/>
        </w:rPr>
        <w:t xml:space="preserve">міської ради</w:t>
      </w:r>
      <w:r>
        <w:rPr>
          <w:sz w:val="28"/>
          <w:szCs w:val="28"/>
        </w:rPr>
        <w:t xml:space="preserve"> факторів, пов’язаних із роботою на ПК, необхідно раціонально організувати режим праці та відпочинку. Через кожні 60 хвилин безперервної роботи слід установлювати перерви на 10 хвилин.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</w:t>
      </w:r>
      <w:bookmarkStart w:id="0" w:name="bookmark2"/>
      <w:r>
        <w:rPr>
          <w:sz w:val="28"/>
          <w:szCs w:val="28"/>
        </w:rPr>
        <w:t xml:space="preserve">. Забороняється:</w:t>
      </w:r>
      <w:bookmarkEnd w:id="0"/>
      <w:r>
        <w:rPr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3.9.1. Захаращувати робоче місце і проходи сторонніми предметами.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3.9.2. Класти будь-які предмети на ПК, відеотермінал, принтер.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3.9.3. Закривати будь-чим вентиляційні отвори апаратури.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3.9.4. Переключати з’єднувальні шнури апаратури при включеному живленні.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3.9.5. Допускати попадання вологи на апаратуру.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3.9.6. Включати охолоджену (принесену з вулиці в зимовий час) апаратуру.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3.9.7. Самостійно відкривати та ремонтувати апаратуру.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3.9.8. Відмикати обладнання під час його роботи.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numPr>
          <w:ilvl w:val="0"/>
          <w:numId w:val="18"/>
        </w:numPr>
        <w:jc w:val="center"/>
        <w:keepNext/>
        <w:rPr>
          <w:bCs/>
          <w:sz w:val="28"/>
          <w:szCs w:val="28"/>
        </w:rPr>
        <w:outlineLvl w:val="0"/>
      </w:pPr>
      <w:r>
        <w:rPr>
          <w:sz w:val="28"/>
          <w:szCs w:val="28"/>
        </w:rPr>
        <w:t xml:space="preserve">І</w:t>
      </w:r>
      <w:r>
        <w:rPr>
          <w:sz w:val="28"/>
          <w:szCs w:val="28"/>
          <w:lang w:val="en-US"/>
        </w:rPr>
        <w:t xml:space="preserve">V</w:t>
      </w:r>
      <w:r>
        <w:rPr>
          <w:sz w:val="28"/>
          <w:szCs w:val="28"/>
        </w:rPr>
        <w:t xml:space="preserve">. Вимоги безпеки після закінчення роботи</w:t>
      </w:r>
      <w:r>
        <w:rPr>
          <w:bCs/>
          <w:sz w:val="28"/>
          <w:szCs w:val="28"/>
        </w:rPr>
      </w:r>
      <w:r/>
    </w:p>
    <w:p>
      <w:pPr>
        <w:pStyle w:val="633"/>
        <w:ind w:firstLine="720"/>
        <w:jc w:val="both"/>
        <w:tabs>
          <w:tab w:val="left" w:pos="1223" w:leader="none"/>
        </w:tabs>
        <w:rPr>
          <w:sz w:val="28"/>
          <w:szCs w:val="28"/>
          <w:shd w:val="clear" w:fill="FFFFFF" w:color="auto"/>
          <w:lang w:eastAsia="uk-UA"/>
        </w:rPr>
      </w:pPr>
      <w:r>
        <w:rPr>
          <w:color w:val="000000"/>
          <w:sz w:val="28"/>
          <w:szCs w:val="28"/>
          <w:shd w:val="clear" w:fill="FFFFFF" w:color="auto"/>
          <w:lang w:eastAsia="uk-UA"/>
        </w:rPr>
        <w:t xml:space="preserve">4.1. Після закінчення роботи користувач повинен виконати наступну послідовність операцій:</w:t>
      </w:r>
      <w:r>
        <w:rPr>
          <w:sz w:val="28"/>
          <w:szCs w:val="28"/>
          <w:shd w:val="clear" w:fill="FFFFFF" w:color="auto"/>
          <w:lang w:eastAsia="uk-UA"/>
        </w:rPr>
      </w:r>
      <w:r/>
    </w:p>
    <w:p>
      <w:pPr>
        <w:pStyle w:val="633"/>
        <w:ind w:firstLine="720"/>
        <w:jc w:val="both"/>
        <w:tabs>
          <w:tab w:val="left" w:pos="889" w:leader="none"/>
        </w:tabs>
        <w:rPr>
          <w:sz w:val="28"/>
          <w:szCs w:val="28"/>
          <w:shd w:val="clear" w:fill="FFFFFF" w:color="auto"/>
          <w:lang w:eastAsia="uk-UA"/>
        </w:rPr>
      </w:pPr>
      <w:r>
        <w:rPr>
          <w:color w:val="000000"/>
          <w:sz w:val="28"/>
          <w:szCs w:val="28"/>
          <w:shd w:val="clear" w:fill="FFFFFF" w:color="auto"/>
          <w:lang w:eastAsia="uk-UA"/>
        </w:rPr>
        <w:t xml:space="preserve">4.1.1. Провести закриття всіх активних завдань.</w:t>
      </w:r>
      <w:r>
        <w:rPr>
          <w:sz w:val="28"/>
          <w:szCs w:val="28"/>
          <w:shd w:val="clear" w:fill="FFFFFF" w:color="auto"/>
          <w:lang w:eastAsia="uk-UA"/>
        </w:rPr>
      </w:r>
      <w:r/>
    </w:p>
    <w:p>
      <w:pPr>
        <w:pStyle w:val="633"/>
        <w:ind w:firstLine="720"/>
        <w:jc w:val="both"/>
        <w:tabs>
          <w:tab w:val="left" w:pos="889" w:leader="none"/>
        </w:tabs>
        <w:rPr>
          <w:sz w:val="28"/>
          <w:szCs w:val="28"/>
          <w:shd w:val="clear" w:fill="FFFFFF" w:color="auto"/>
          <w:lang w:eastAsia="uk-UA"/>
        </w:rPr>
      </w:pPr>
      <w:r>
        <w:rPr>
          <w:color w:val="000000"/>
          <w:sz w:val="28"/>
          <w:szCs w:val="28"/>
          <w:shd w:val="clear" w:fill="FFFFFF" w:color="auto"/>
          <w:lang w:eastAsia="uk-UA"/>
        </w:rPr>
        <w:t xml:space="preserve">4.1.2. Виключити живлення системного блока, відеотермінала та всіх периферійних пристроїв.</w:t>
      </w:r>
      <w:r>
        <w:rPr>
          <w:sz w:val="28"/>
          <w:szCs w:val="28"/>
          <w:shd w:val="clear" w:fill="FFFFFF" w:color="auto"/>
          <w:lang w:eastAsia="uk-UA"/>
        </w:rPr>
      </w:r>
      <w:r/>
    </w:p>
    <w:p>
      <w:pPr>
        <w:pStyle w:val="633"/>
        <w:ind w:firstLine="720"/>
        <w:jc w:val="both"/>
        <w:tabs>
          <w:tab w:val="left" w:pos="889" w:leader="none"/>
        </w:tabs>
        <w:rPr>
          <w:sz w:val="28"/>
          <w:szCs w:val="28"/>
          <w:shd w:val="clear" w:fill="FFFFFF" w:color="auto"/>
          <w:lang w:eastAsia="uk-UA"/>
        </w:rPr>
      </w:pPr>
      <w:r>
        <w:rPr>
          <w:color w:val="000000"/>
          <w:sz w:val="28"/>
          <w:szCs w:val="28"/>
          <w:shd w:val="clear" w:fill="FFFFFF" w:color="auto"/>
          <w:lang w:eastAsia="uk-UA"/>
        </w:rPr>
        <w:t xml:space="preserve">4.1.3. Відключити ПК від мережі живлення.</w:t>
      </w:r>
      <w:r>
        <w:rPr>
          <w:sz w:val="28"/>
          <w:szCs w:val="28"/>
          <w:shd w:val="clear" w:fill="FFFFFF" w:color="auto"/>
          <w:lang w:eastAsia="uk-UA"/>
        </w:rPr>
      </w:r>
      <w:r/>
    </w:p>
    <w:p>
      <w:pPr>
        <w:pStyle w:val="633"/>
        <w:ind w:firstLine="720"/>
        <w:jc w:val="both"/>
        <w:tabs>
          <w:tab w:val="left" w:pos="1223" w:leader="none"/>
        </w:tabs>
        <w:rPr>
          <w:sz w:val="28"/>
          <w:szCs w:val="28"/>
          <w:shd w:val="clear" w:fill="FFFFFF" w:color="auto"/>
          <w:lang w:eastAsia="uk-UA"/>
        </w:rPr>
      </w:pPr>
      <w:r>
        <w:rPr>
          <w:color w:val="000000"/>
          <w:sz w:val="28"/>
          <w:szCs w:val="28"/>
          <w:shd w:val="clear" w:fill="FFFFFF" w:color="auto"/>
          <w:lang w:eastAsia="uk-UA"/>
        </w:rPr>
        <w:t xml:space="preserve">4.2. Повідомити своєму безпосередньому керівникові про виявлені несправності, що мали місце під час роботи.</w:t>
      </w:r>
      <w:r>
        <w:rPr>
          <w:sz w:val="28"/>
          <w:szCs w:val="28"/>
          <w:shd w:val="clear" w:fill="FFFFFF" w:color="auto"/>
          <w:lang w:eastAsia="uk-UA"/>
        </w:rPr>
      </w:r>
      <w:r/>
    </w:p>
    <w:p>
      <w:pPr>
        <w:pStyle w:val="633"/>
        <w:ind w:firstLine="720"/>
        <w:jc w:val="both"/>
        <w:tabs>
          <w:tab w:val="left" w:pos="1223" w:leader="none"/>
        </w:tabs>
        <w:rPr>
          <w:b/>
          <w:bCs/>
          <w:sz w:val="28"/>
          <w:szCs w:val="28"/>
          <w:shd w:val="clear" w:fill="FFFFFF" w:color="auto"/>
          <w:lang w:eastAsia="en-US"/>
        </w:rPr>
      </w:pPr>
      <w:r>
        <w:rPr>
          <w:b/>
          <w:bCs/>
          <w:sz w:val="28"/>
          <w:szCs w:val="28"/>
          <w:shd w:val="clear" w:fill="FFFFFF" w:color="auto"/>
          <w:lang w:eastAsia="en-US"/>
        </w:rPr>
      </w:r>
      <w:r/>
    </w:p>
    <w:p>
      <w:pPr>
        <w:pStyle w:val="633"/>
        <w:jc w:val="center"/>
        <w:rPr>
          <w:sz w:val="28"/>
          <w:szCs w:val="28"/>
          <w:shd w:val="clear" w:fill="FFFFFF" w:color="auto"/>
          <w:lang w:eastAsia="uk-UA"/>
        </w:rPr>
      </w:pPr>
      <w:r>
        <w:rPr>
          <w:sz w:val="28"/>
          <w:szCs w:val="28"/>
          <w:shd w:val="clear" w:fill="FFFFFF" w:color="auto"/>
          <w:lang w:val="en-US" w:eastAsia="uk-UA"/>
        </w:rPr>
        <w:t xml:space="preserve">V</w:t>
      </w:r>
      <w:r>
        <w:rPr>
          <w:sz w:val="28"/>
          <w:szCs w:val="28"/>
          <w:shd w:val="clear" w:fill="FFFFFF" w:color="auto"/>
          <w:lang w:eastAsia="uk-UA"/>
        </w:rPr>
        <w:t xml:space="preserve">. Вимоги безпеки в аварійних ситуаціях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При виявленні несправностей заземлення, пошкоджень у мережі електроживлення, ознак диму, запаху гару вимкнути апаратуру й повідомити про аварійну ситуацію </w:t>
      </w:r>
      <w:r>
        <w:rPr>
          <w:color w:val="000000"/>
          <w:sz w:val="28"/>
          <w:szCs w:val="28"/>
        </w:rPr>
        <w:t xml:space="preserve">своєму безпосередньому керівникові</w:t>
      </w:r>
      <w:r>
        <w:rPr>
          <w:sz w:val="28"/>
          <w:szCs w:val="28"/>
        </w:rPr>
        <w:t xml:space="preserve">. При раптовому припиненні подавання електроенергії вимкнути апаратуру ПК і витягнути штепсельні вилки з розеток.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>
        <w:rPr>
          <w:color w:val="000000"/>
          <w:sz w:val="28"/>
          <w:szCs w:val="28"/>
        </w:rPr>
        <w:t xml:space="preserve">Негайно повідомити про те, що трапилося, безпосередньому керівникові та черговому пожежного поста за тел. 202-71-53.</w:t>
      </w:r>
      <w:r>
        <w:rPr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Якщо під час аварії постраждали працівники секретаріату </w:t>
      </w:r>
      <w:r>
        <w:rPr>
          <w:color w:val="000000"/>
          <w:sz w:val="28"/>
          <w:szCs w:val="28"/>
        </w:rPr>
        <w:t xml:space="preserve">міської ради </w:t>
      </w:r>
      <w:r>
        <w:rPr>
          <w:sz w:val="28"/>
          <w:szCs w:val="28"/>
        </w:rPr>
        <w:t xml:space="preserve">або інші особи, за необхідності, викликати швидку медичну допомогу, до прибуття якої надавати першу допомогу.</w:t>
      </w:r>
      <w:r/>
    </w:p>
    <w:p>
      <w:pPr>
        <w:pStyle w:val="633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7" w:h="16840" w:orient="portrait"/>
      <w:pgMar w:top="1134" w:right="567" w:bottom="1134" w:left="1701" w:header="284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21"/>
      <w:numFmt w:val="bullet"/>
      <w:isLgl w:val="false"/>
      <w:suff w:val="tab"/>
      <w:lvlText w:val="-"/>
      <w:lvlJc w:val="left"/>
      <w:pPr>
        <w:pStyle w:val="633"/>
        <w:ind w:left="1085" w:hanging="360"/>
        <w:tabs>
          <w:tab w:val="num" w:pos="108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33"/>
        <w:ind w:left="1805" w:hanging="360"/>
        <w:tabs>
          <w:tab w:val="num" w:pos="180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3"/>
        <w:ind w:left="2525" w:hanging="360"/>
        <w:tabs>
          <w:tab w:val="num" w:pos="252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3"/>
        <w:ind w:left="3245" w:hanging="360"/>
        <w:tabs>
          <w:tab w:val="num" w:pos="324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3"/>
        <w:ind w:left="3965" w:hanging="360"/>
        <w:tabs>
          <w:tab w:val="num" w:pos="396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3"/>
        <w:ind w:left="4685" w:hanging="360"/>
        <w:tabs>
          <w:tab w:val="num" w:pos="468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3"/>
        <w:ind w:left="5405" w:hanging="360"/>
        <w:tabs>
          <w:tab w:val="num" w:pos="540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3"/>
        <w:ind w:left="6125" w:hanging="360"/>
        <w:tabs>
          <w:tab w:val="num" w:pos="612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3"/>
        <w:ind w:left="6845" w:hanging="360"/>
        <w:tabs>
          <w:tab w:val="num" w:pos="6845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33"/>
        <w:ind w:left="381" w:hanging="381"/>
        <w:tabs>
          <w:tab w:val="num" w:pos="381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3"/>
        <w:ind w:left="665" w:hanging="381"/>
        <w:tabs>
          <w:tab w:val="num" w:pos="66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3"/>
        <w:ind w:left="1572" w:hanging="720"/>
        <w:tabs>
          <w:tab w:val="num" w:pos="1572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3"/>
        <w:ind w:left="2500" w:hanging="1080"/>
        <w:tabs>
          <w:tab w:val="num" w:pos="25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3"/>
        <w:ind w:left="3428" w:hanging="1440"/>
        <w:tabs>
          <w:tab w:val="num" w:pos="3428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3"/>
        <w:ind w:left="4072" w:hanging="1800"/>
        <w:tabs>
          <w:tab w:val="num" w:pos="4072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3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3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3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3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3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3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3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33"/>
        <w:ind w:left="4432" w:hanging="2160"/>
        <w:tabs>
          <w:tab w:val="num" w:pos="4432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3"/>
        <w:ind w:left="780" w:hanging="420"/>
        <w:tabs>
          <w:tab w:val="num" w:pos="7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3"/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3"/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3"/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3"/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3"/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3"/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3"/>
        <w:ind w:left="4680" w:hanging="1800"/>
        <w:tabs>
          <w:tab w:val="num" w:pos="46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5"/>
  </w:num>
  <w:num w:numId="2">
    <w:abstractNumId w:val="17"/>
  </w:num>
  <w:num w:numId="3">
    <w:abstractNumId w:val="1"/>
  </w:num>
  <w:num w:numId="4">
    <w:abstractNumId w:val="12"/>
  </w:num>
  <w:num w:numId="5">
    <w:abstractNumId w:val="6"/>
  </w:num>
  <w:num w:numId="6">
    <w:abstractNumId w:val="4"/>
  </w:num>
  <w:num w:numId="7">
    <w:abstractNumId w:val="15"/>
  </w:num>
  <w:num w:numId="8">
    <w:abstractNumId w:val="13"/>
  </w:num>
  <w:num w:numId="9">
    <w:abstractNumId w:val="8"/>
  </w:num>
  <w:num w:numId="10">
    <w:abstractNumId w:val="10"/>
  </w:num>
  <w:num w:numId="11">
    <w:abstractNumId w:val="14"/>
  </w:num>
  <w:num w:numId="12">
    <w:abstractNumId w:val="3"/>
  </w:num>
  <w:num w:numId="13">
    <w:abstractNumId w:val="9"/>
  </w:num>
  <w:num w:numId="14">
    <w:abstractNumId w:val="2"/>
  </w:num>
  <w:num w:numId="15">
    <w:abstractNumId w:val="11"/>
  </w:num>
  <w:num w:numId="16">
    <w:abstractNumId w:val="16"/>
  </w:num>
  <w:num w:numId="17">
    <w:abstractNumId w:val="7"/>
  </w:num>
  <w:num w:numId="1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47"/>
    <w:next w:val="647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47"/>
    <w:next w:val="647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47"/>
    <w:next w:val="647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47"/>
    <w:next w:val="647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47"/>
    <w:next w:val="647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47"/>
    <w:next w:val="647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47"/>
    <w:next w:val="64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47"/>
    <w:next w:val="64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47"/>
    <w:next w:val="64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47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647"/>
    <w:next w:val="64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647"/>
    <w:next w:val="64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647"/>
    <w:next w:val="64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47"/>
    <w:next w:val="64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47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47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47"/>
    <w:next w:val="64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4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4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47"/>
    <w:next w:val="64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47"/>
    <w:next w:val="64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47"/>
    <w:next w:val="64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47"/>
    <w:next w:val="64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47"/>
    <w:next w:val="64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47"/>
    <w:next w:val="64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47"/>
    <w:next w:val="64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47"/>
    <w:next w:val="64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47"/>
    <w:next w:val="64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47"/>
    <w:next w:val="647"/>
    <w:uiPriority w:val="99"/>
    <w:unhideWhenUsed/>
    <w:pPr>
      <w:spacing w:after="0" w:afterAutospacing="0"/>
    </w:pPr>
  </w:style>
  <w:style w:type="paragraph" w:styleId="633">
    <w:name w:val="Обычный"/>
    <w:next w:val="633"/>
    <w:link w:val="633"/>
    <w:rPr>
      <w:sz w:val="24"/>
      <w:szCs w:val="24"/>
      <w:lang w:val="uk-UA" w:bidi="ar-SA" w:eastAsia="ru-RU"/>
    </w:rPr>
  </w:style>
  <w:style w:type="paragraph" w:styleId="634">
    <w:name w:val="Заголовок 1"/>
    <w:basedOn w:val="633"/>
    <w:next w:val="633"/>
    <w:link w:val="633"/>
    <w:rPr>
      <w:b/>
      <w:sz w:val="20"/>
      <w:szCs w:val="20"/>
      <w:lang w:val="uk-UA"/>
    </w:rPr>
    <w:pPr>
      <w:ind w:left="5387"/>
      <w:keepNext/>
      <w:outlineLvl w:val="0"/>
    </w:pPr>
  </w:style>
  <w:style w:type="paragraph" w:styleId="635">
    <w:name w:val="Заголовок 3"/>
    <w:basedOn w:val="633"/>
    <w:next w:val="633"/>
    <w:link w:val="633"/>
    <w:rPr>
      <w:b/>
      <w:sz w:val="28"/>
      <w:szCs w:val="20"/>
      <w:lang w:val="uk-UA"/>
    </w:rPr>
    <w:pPr>
      <w:jc w:val="center"/>
      <w:keepNext/>
      <w:outlineLvl w:val="2"/>
    </w:pPr>
  </w:style>
  <w:style w:type="paragraph" w:styleId="636">
    <w:name w:val="Заголовок 4"/>
    <w:basedOn w:val="633"/>
    <w:next w:val="633"/>
    <w:link w:val="633"/>
    <w:rPr>
      <w:b/>
      <w:sz w:val="20"/>
      <w:szCs w:val="20"/>
      <w:lang w:val="uk-UA"/>
    </w:rPr>
    <w:pPr>
      <w:ind w:left="709"/>
      <w:keepNext/>
      <w:outlineLvl w:val="3"/>
    </w:pPr>
  </w:style>
  <w:style w:type="paragraph" w:styleId="637">
    <w:name w:val="Заголовок 8"/>
    <w:basedOn w:val="633"/>
    <w:next w:val="633"/>
    <w:link w:val="633"/>
    <w:rPr>
      <w:i/>
      <w:iCs/>
    </w:rPr>
    <w:pPr>
      <w:spacing w:after="60" w:before="240"/>
      <w:outlineLvl w:val="7"/>
    </w:pPr>
  </w:style>
  <w:style w:type="character" w:styleId="638">
    <w:name w:val="Основной шрифт абзаца"/>
    <w:next w:val="638"/>
    <w:link w:val="633"/>
    <w:semiHidden/>
  </w:style>
  <w:style w:type="table" w:styleId="639">
    <w:name w:val="Обычная таблица"/>
    <w:next w:val="639"/>
    <w:link w:val="633"/>
    <w:semiHidden/>
    <w:tblPr/>
  </w:style>
  <w:style w:type="numbering" w:styleId="640">
    <w:name w:val="Нет списка"/>
    <w:next w:val="640"/>
    <w:link w:val="633"/>
    <w:semiHidden/>
  </w:style>
  <w:style w:type="paragraph" w:styleId="641">
    <w:name w:val="Основной текст"/>
    <w:basedOn w:val="633"/>
    <w:next w:val="641"/>
    <w:link w:val="633"/>
    <w:rPr>
      <w:sz w:val="20"/>
      <w:szCs w:val="20"/>
      <w:lang w:val="uk-UA"/>
    </w:rPr>
  </w:style>
  <w:style w:type="paragraph" w:styleId="642">
    <w:name w:val="Стандартный HTML"/>
    <w:basedOn w:val="633"/>
    <w:next w:val="642"/>
    <w:link w:val="633"/>
    <w:rPr>
      <w:rFonts w:ascii="Courier New" w:hAnsi="Courier New"/>
      <w:sz w:val="20"/>
      <w:szCs w:val="20"/>
      <w:lang w:eastAsia="uk-UA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table" w:styleId="643">
    <w:name w:val="Сетка таблицы"/>
    <w:basedOn w:val="639"/>
    <w:next w:val="643"/>
    <w:link w:val="633"/>
    <w:tblPr/>
  </w:style>
  <w:style w:type="paragraph" w:styleId="644">
    <w:name w:val="Основной текст с отступом"/>
    <w:basedOn w:val="633"/>
    <w:next w:val="644"/>
    <w:link w:val="633"/>
    <w:pPr>
      <w:ind w:left="283"/>
      <w:spacing w:after="120"/>
    </w:pPr>
  </w:style>
  <w:style w:type="paragraph" w:styleId="645">
    <w:name w:val="Основной текст с отступом 2"/>
    <w:basedOn w:val="633"/>
    <w:next w:val="645"/>
    <w:link w:val="633"/>
    <w:pPr>
      <w:ind w:left="283"/>
      <w:spacing w:lineRule="auto" w:line="480" w:after="120"/>
    </w:pPr>
  </w:style>
  <w:style w:type="paragraph" w:styleId="646">
    <w:name w:val="Текст выноски"/>
    <w:basedOn w:val="633"/>
    <w:next w:val="646"/>
    <w:link w:val="633"/>
    <w:semiHidden/>
    <w:rPr>
      <w:rFonts w:ascii="Tahoma" w:hAnsi="Tahoma"/>
      <w:sz w:val="16"/>
      <w:szCs w:val="16"/>
    </w:rPr>
  </w:style>
  <w:style w:type="paragraph" w:styleId="647" w:default="1">
    <w:name w:val="Normal"/>
    <w:next w:val="647"/>
    <w:link w:val="633"/>
    <w:rPr>
      <w:lang w:val="ru-RU" w:bidi="ar-SA" w:eastAsia="ru-RU"/>
    </w:rPr>
    <w:pPr>
      <w:widowControl w:val="off"/>
    </w:pPr>
  </w:style>
  <w:style w:type="paragraph" w:styleId="648">
    <w:name w:val="msonospacing wym_center"/>
    <w:basedOn w:val="633"/>
    <w:next w:val="648"/>
    <w:link w:val="633"/>
    <w:rPr>
      <w:lang w:val="ru-RU"/>
    </w:rPr>
    <w:pPr>
      <w:spacing w:after="100" w:afterAutospacing="1" w:before="100" w:beforeAutospacing="1"/>
    </w:pPr>
  </w:style>
  <w:style w:type="character" w:styleId="649">
    <w:name w:val="Строгий"/>
    <w:next w:val="649"/>
    <w:link w:val="633"/>
    <w:rPr>
      <w:b/>
      <w:bCs/>
    </w:rPr>
  </w:style>
  <w:style w:type="paragraph" w:styleId="650">
    <w:name w:val="Цитата"/>
    <w:basedOn w:val="633"/>
    <w:next w:val="650"/>
    <w:link w:val="633"/>
    <w:semiHidden/>
    <w:rPr>
      <w:b/>
      <w:bCs/>
      <w:sz w:val="28"/>
      <w:szCs w:val="28"/>
      <w:lang w:val="ru-RU"/>
    </w:rPr>
    <w:pPr>
      <w:ind w:left="360" w:right="400"/>
      <w:jc w:val="center"/>
      <w:spacing w:before="340"/>
    </w:pPr>
  </w:style>
  <w:style w:type="paragraph" w:styleId="651">
    <w:name w:val="Название"/>
    <w:basedOn w:val="633"/>
    <w:next w:val="651"/>
    <w:link w:val="633"/>
    <w:rPr>
      <w:rFonts w:ascii="Arial" w:hAnsi="Arial"/>
      <w:b/>
      <w:bCs/>
      <w:color w:val="000000"/>
      <w:spacing w:val="-11"/>
      <w:sz w:val="22"/>
      <w:szCs w:val="23"/>
    </w:rPr>
    <w:pPr>
      <w:jc w:val="center"/>
      <w:shd w:val="clear" w:fill="FFFFFF" w:color="auto"/>
      <w:widowControl w:val="off"/>
    </w:pPr>
  </w:style>
  <w:style w:type="character" w:styleId="1190" w:default="1">
    <w:name w:val="Default Paragraph Font"/>
    <w:uiPriority w:val="1"/>
    <w:semiHidden/>
    <w:unhideWhenUsed/>
  </w:style>
  <w:style w:type="numbering" w:styleId="1191" w:default="1">
    <w:name w:val="No List"/>
    <w:uiPriority w:val="99"/>
    <w:semiHidden/>
    <w:unhideWhenUsed/>
  </w:style>
  <w:style w:type="table" w:styleId="11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2021-12-05T12:14:19Z</dcterms:modified>
</cp:coreProperties>
</file>