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3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МЕН</w:t>
      </w:r>
      <w:r>
        <w:rPr>
          <w:sz w:val="28"/>
          <w:szCs w:val="28"/>
        </w:rPr>
        <w:t xml:space="preserve">СЬКА МІСЬКА РАДА</w:t>
      </w:r>
      <w:r/>
    </w:p>
    <w:p>
      <w:pPr>
        <w:pStyle w:val="633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КОРЮКІВСЬКОГО РАЙОНУ ЧЕРНІГІВСЬКОЇ ОБЛАСТІ</w:t>
      </w:r>
      <w:r>
        <w:rPr>
          <w:sz w:val="28"/>
          <w:szCs w:val="28"/>
        </w:rPr>
      </w:r>
      <w:r/>
    </w:p>
    <w:p>
      <w:pPr>
        <w:pStyle w:val="633"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34"/>
        <w:jc w:val="center"/>
        <w:rPr>
          <w:b w:val="false"/>
          <w:sz w:val="28"/>
          <w:szCs w:val="28"/>
        </w:rPr>
      </w:pPr>
      <w:r>
        <w:rPr>
          <w:b w:val="false"/>
          <w:sz w:val="28"/>
          <w:szCs w:val="28"/>
        </w:rPr>
      </w:r>
      <w:r/>
    </w:p>
    <w:p>
      <w:pPr>
        <w:pStyle w:val="633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33"/>
        <w:ind w:right="91"/>
        <w:jc w:val="center"/>
        <w:keepNext/>
        <w:shd w:val="clear" w:fill="FFFFFF" w:color="auto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33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33"/>
        <w:ind w:right="96"/>
        <w:jc w:val="center"/>
        <w:keepNext/>
        <w:shd w:val="clear" w:fill="FFFFFF" w:color="auto"/>
        <w:tabs>
          <w:tab w:val="left" w:pos="567" w:leader="none"/>
          <w:tab w:val="left" w:pos="720" w:leader="none"/>
        </w:tabs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33"/>
        <w:ind w:right="96"/>
        <w:jc w:val="center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33"/>
        <w:ind w:right="96"/>
        <w:jc w:val="center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33"/>
        <w:ind w:right="96"/>
        <w:jc w:val="center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33"/>
        <w:ind w:right="96"/>
        <w:jc w:val="center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33"/>
        <w:ind w:right="96"/>
        <w:jc w:val="center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33"/>
        <w:ind w:right="96"/>
        <w:jc w:val="center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33"/>
        <w:ind w:right="96"/>
        <w:jc w:val="center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33"/>
        <w:ind w:right="96"/>
        <w:jc w:val="center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33"/>
        <w:ind w:right="96"/>
        <w:jc w:val="center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33"/>
        <w:ind w:right="96"/>
        <w:jc w:val="center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51"/>
        <w:keepNext/>
        <w:widowControl/>
        <w:rPr>
          <w:rFonts w:ascii="Times New Roman" w:hAnsi="Times New Roman"/>
          <w:caps/>
          <w:color w:val="000000"/>
          <w:spacing w:val="0"/>
          <w:sz w:val="28"/>
          <w:szCs w:val="28"/>
        </w:rPr>
      </w:pPr>
      <w:r>
        <w:rPr>
          <w:rFonts w:ascii="Times New Roman" w:hAnsi="Times New Roman"/>
          <w:caps/>
          <w:color w:val="000000"/>
          <w:spacing w:val="0"/>
          <w:sz w:val="28"/>
          <w:szCs w:val="28"/>
        </w:rPr>
        <w:t xml:space="preserve">Інструкція</w:t>
      </w:r>
      <w:r/>
    </w:p>
    <w:p>
      <w:pPr>
        <w:pStyle w:val="634"/>
        <w:ind w:left="2832" w:firstLine="708"/>
        <w:rPr>
          <w:b w:val="false"/>
          <w:caps/>
          <w:sz w:val="28"/>
          <w:szCs w:val="28"/>
        </w:rPr>
      </w:pPr>
      <w:r>
        <w:rPr>
          <w:caps/>
          <w:sz w:val="28"/>
          <w:szCs w:val="28"/>
        </w:rPr>
        <w:t xml:space="preserve">з охорони праці № 6</w:t>
      </w:r>
      <w:r>
        <w:rPr>
          <w:b w:val="false"/>
          <w:caps/>
          <w:sz w:val="28"/>
          <w:szCs w:val="28"/>
        </w:rPr>
      </w:r>
      <w:r/>
    </w:p>
    <w:p>
      <w:pPr>
        <w:pStyle w:val="633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 xml:space="preserve">при користуванні </w:t>
      </w:r>
      <w:r/>
    </w:p>
    <w:p>
      <w:pPr>
        <w:pStyle w:val="633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 xml:space="preserve">електропобутовими приладами</w:t>
      </w:r>
      <w:r/>
    </w:p>
    <w:p>
      <w:pPr>
        <w:pStyle w:val="633"/>
        <w:jc w:val="center"/>
        <w:keepNext/>
        <w:rPr>
          <w:caps/>
          <w:sz w:val="28"/>
          <w:szCs w:val="28"/>
        </w:rPr>
      </w:pPr>
      <w:r>
        <w:rPr>
          <w:caps/>
          <w:sz w:val="28"/>
          <w:szCs w:val="28"/>
        </w:rPr>
      </w:r>
      <w:r/>
    </w:p>
    <w:p>
      <w:pPr>
        <w:pStyle w:val="633"/>
        <w:jc w:val="center"/>
        <w:keepNext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</w:r>
      <w:r/>
    </w:p>
    <w:p>
      <w:pPr>
        <w:pStyle w:val="633"/>
        <w:ind w:right="96"/>
        <w:jc w:val="center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33"/>
        <w:ind w:right="96"/>
        <w:jc w:val="center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33"/>
        <w:ind w:right="96"/>
        <w:jc w:val="center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33"/>
        <w:ind w:right="96"/>
        <w:jc w:val="center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33"/>
        <w:ind w:right="96"/>
        <w:jc w:val="center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33"/>
        <w:ind w:right="96"/>
        <w:jc w:val="center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33"/>
        <w:ind w:right="96"/>
        <w:jc w:val="center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33"/>
        <w:ind w:right="96"/>
        <w:jc w:val="center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33"/>
        <w:ind w:right="96"/>
        <w:jc w:val="center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33"/>
        <w:ind w:right="96"/>
        <w:jc w:val="center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33"/>
        <w:ind w:right="96"/>
        <w:jc w:val="center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33"/>
        <w:ind w:right="96"/>
        <w:jc w:val="center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33"/>
        <w:ind w:right="96"/>
        <w:jc w:val="center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33"/>
        <w:ind w:right="96"/>
        <w:jc w:val="center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33"/>
        <w:ind w:right="96"/>
        <w:jc w:val="center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33"/>
        <w:ind w:right="96"/>
        <w:jc w:val="center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33"/>
        <w:ind w:right="96"/>
        <w:jc w:val="center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33"/>
        <w:ind w:right="96"/>
        <w:jc w:val="center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33"/>
        <w:ind w:right="96"/>
        <w:jc w:val="center"/>
        <w:keepNext/>
        <w:shd w:val="clear" w:fill="FFFFFF" w:color="auto"/>
        <w:tabs>
          <w:tab w:val="left" w:pos="567" w:leader="none"/>
          <w:tab w:val="left" w:pos="720" w:leader="none"/>
        </w:tabs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33"/>
        <w:jc w:val="center"/>
        <w:keepNext/>
        <w:rPr>
          <w:sz w:val="28"/>
          <w:szCs w:val="28"/>
        </w:rPr>
      </w:pPr>
      <w:r>
        <w:rPr>
          <w:sz w:val="28"/>
          <w:szCs w:val="28"/>
        </w:rPr>
        <w:t xml:space="preserve">м. </w:t>
      </w:r>
      <w:r>
        <w:rPr>
          <w:sz w:val="28"/>
          <w:szCs w:val="28"/>
        </w:rPr>
        <w:t xml:space="preserve">Мена</w:t>
      </w:r>
      <w:r>
        <w:rPr>
          <w:sz w:val="28"/>
          <w:szCs w:val="28"/>
        </w:rPr>
        <w:t xml:space="preserve"> </w:t>
      </w:r>
      <w:r/>
    </w:p>
    <w:p>
      <w:pPr>
        <w:pStyle w:val="633"/>
        <w:jc w:val="center"/>
        <w:rPr>
          <w:sz w:val="28"/>
          <w:szCs w:val="28"/>
          <w:lang w:val="ru-RU"/>
        </w:rPr>
      </w:pPr>
      <w:r>
        <w:rPr>
          <w:bCs/>
          <w:sz w:val="28"/>
          <w:szCs w:val="28"/>
        </w:rPr>
        <w:br w:type="page"/>
      </w:r>
      <w:r>
        <w:rPr>
          <w:b/>
          <w:bCs/>
          <w:sz w:val="28"/>
          <w:szCs w:val="28"/>
        </w:rPr>
        <w:t xml:space="preserve">МЕН</w:t>
      </w:r>
      <w:r>
        <w:rPr>
          <w:b/>
          <w:bCs/>
          <w:sz w:val="28"/>
          <w:szCs w:val="28"/>
          <w:lang w:val="ru-RU"/>
        </w:rPr>
        <w:t xml:space="preserve">СЬКА МІСЬКА РАДА</w:t>
      </w:r>
      <w:r>
        <w:rPr>
          <w:sz w:val="28"/>
          <w:szCs w:val="28"/>
          <w:lang w:val="ru-RU"/>
        </w:rPr>
      </w:r>
      <w:r/>
    </w:p>
    <w:p>
      <w:pPr>
        <w:pStyle w:val="633"/>
        <w:jc w:val="center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КОРЮКІВСЬКОГО РАЙОНУ ЧЕРНІГІВСЬКОЇ ОБЛАСТІ</w:t>
      </w:r>
      <w:r>
        <w:rPr>
          <w:sz w:val="28"/>
          <w:szCs w:val="28"/>
          <w:lang w:val="ru-RU"/>
        </w:rPr>
      </w:r>
      <w:r/>
    </w:p>
    <w:p>
      <w:pPr>
        <w:pStyle w:val="633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</w:r>
      <w:r/>
    </w:p>
    <w:p>
      <w:pPr>
        <w:pStyle w:val="633"/>
        <w:ind w:left="5670"/>
        <w:rPr>
          <w:sz w:val="28"/>
          <w:szCs w:val="28"/>
        </w:rPr>
      </w:pPr>
      <w:r>
        <w:rPr>
          <w:sz w:val="28"/>
          <w:szCs w:val="28"/>
        </w:rPr>
        <w:t xml:space="preserve">ЗАТВЕРДЖЕНО</w:t>
      </w:r>
      <w:r/>
    </w:p>
    <w:p>
      <w:pPr>
        <w:pStyle w:val="633"/>
        <w:ind w:left="5670"/>
        <w:rPr>
          <w:sz w:val="28"/>
          <w:szCs w:val="28"/>
        </w:rPr>
      </w:pPr>
      <w:r>
        <w:rPr>
          <w:sz w:val="28"/>
          <w:szCs w:val="28"/>
        </w:rPr>
        <w:t xml:space="preserve">Розпорядження міського голови</w:t>
      </w:r>
      <w:r/>
    </w:p>
    <w:p>
      <w:pPr>
        <w:pStyle w:val="633"/>
        <w:ind w:left="5670"/>
        <w:rPr>
          <w:sz w:val="28"/>
          <w:szCs w:val="28"/>
        </w:rPr>
      </w:pPr>
      <w:r>
        <w:rPr>
          <w:sz w:val="28"/>
          <w:szCs w:val="28"/>
        </w:rPr>
        <w:t xml:space="preserve"> 29 листопада 2021 року № 436</w:t>
      </w:r>
      <w:r/>
    </w:p>
    <w:p>
      <w:pPr>
        <w:pStyle w:val="633"/>
        <w:ind w:left="6300"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33"/>
        <w:numPr>
          <w:ilvl w:val="2"/>
          <w:numId w:val="18"/>
        </w:numPr>
        <w:jc w:val="center"/>
        <w:keepNext/>
        <w:rPr>
          <w:b/>
          <w:caps/>
          <w:sz w:val="28"/>
          <w:szCs w:val="28"/>
        </w:rPr>
        <w:outlineLvl w:val="2"/>
      </w:pPr>
      <w:r>
        <w:rPr>
          <w:b/>
          <w:caps/>
          <w:sz w:val="28"/>
          <w:szCs w:val="28"/>
        </w:rPr>
        <w:t xml:space="preserve">ІНСТРУКЦІЯ № </w:t>
      </w:r>
      <w:r>
        <w:rPr>
          <w:b/>
          <w:caps/>
          <w:sz w:val="28"/>
          <w:szCs w:val="28"/>
        </w:rPr>
        <w:t xml:space="preserve">6</w:t>
      </w:r>
      <w:r>
        <w:rPr>
          <w:b/>
          <w:caps/>
          <w:sz w:val="28"/>
          <w:szCs w:val="28"/>
        </w:rPr>
      </w:r>
      <w:r/>
    </w:p>
    <w:p>
      <w:pPr>
        <w:pStyle w:val="633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 xml:space="preserve">інструктажу з охорони праці при користуванні </w:t>
      </w:r>
      <w:r/>
    </w:p>
    <w:p>
      <w:pPr>
        <w:pStyle w:val="633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 xml:space="preserve">електропобутовими приладами</w:t>
      </w:r>
      <w:r>
        <w:rPr>
          <w:b/>
          <w:caps/>
          <w:sz w:val="28"/>
          <w:szCs w:val="28"/>
        </w:rPr>
      </w:r>
      <w:r/>
    </w:p>
    <w:p>
      <w:pPr>
        <w:pStyle w:val="633"/>
        <w:ind w:firstLine="720"/>
        <w:jc w:val="both"/>
        <w:rPr>
          <w:b/>
          <w:sz w:val="28"/>
          <w:szCs w:val="28"/>
          <w:highlight w:val="yellow"/>
        </w:rPr>
      </w:pPr>
      <w:r>
        <w:rPr>
          <w:b/>
          <w:sz w:val="28"/>
          <w:szCs w:val="28"/>
          <w:highlight w:val="yellow"/>
        </w:rPr>
      </w:r>
      <w:r/>
    </w:p>
    <w:p>
      <w:pPr>
        <w:pStyle w:val="63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І. Загальні положення</w:t>
      </w:r>
      <w:r/>
    </w:p>
    <w:p>
      <w:pPr>
        <w:pStyle w:val="633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1.1. Інструкція інструктажу з питань охорони праці при кори</w:t>
      </w:r>
      <w:r>
        <w:rPr>
          <w:color w:val="000000"/>
          <w:sz w:val="28"/>
          <w:szCs w:val="28"/>
        </w:rPr>
        <w:t xml:space="preserve">стуванні електропобутовими приладами міської ради (далі - Інструкція) встановлює основні вимоги щодо забезпечення охорони праці, техніки безпеки, пожежної безпеки при користуванні електропобутовими приладами та поширюється на всіх працівників міської ради.</w:t>
      </w:r>
      <w:r>
        <w:rPr>
          <w:sz w:val="28"/>
          <w:szCs w:val="28"/>
        </w:rPr>
      </w:r>
      <w:r/>
    </w:p>
    <w:p>
      <w:pPr>
        <w:pStyle w:val="633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Інструкція використовується під час проведення первинного, повторного, позапланового, цільового інструктажів працівників </w:t>
      </w:r>
      <w:r>
        <w:rPr>
          <w:color w:val="000000"/>
          <w:sz w:val="28"/>
          <w:szCs w:val="28"/>
        </w:rPr>
        <w:t xml:space="preserve">міської ради</w:t>
      </w:r>
      <w:r>
        <w:rPr>
          <w:sz w:val="28"/>
          <w:szCs w:val="28"/>
        </w:rPr>
        <w:t xml:space="preserve">. </w:t>
      </w:r>
      <w:r/>
    </w:p>
    <w:p>
      <w:pPr>
        <w:pStyle w:val="63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При безпосередньому стиканні людини зі струмоведучими частинами електроприладів під напругою виникає небезпека ураження її організму електрострумом.</w:t>
      </w:r>
      <w:r/>
    </w:p>
    <w:p>
      <w:pPr>
        <w:pStyle w:val="63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1.4. Величина опору різних органів тіла людини при вологій, брудній, пошкодженій шкірі (технічний стан) різко знижується.</w:t>
      </w:r>
      <w:r/>
    </w:p>
    <w:p>
      <w:pPr>
        <w:pStyle w:val="63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1.5. Опір організму дії струму залежить від фізичного і психологічного стану людини і різко понижується, якщо людина голодна, нездорова, стомлена, в нетверезому стані тощо. При цьому різко підвищується імовірність тяжкого ураження.</w:t>
      </w:r>
      <w:r/>
    </w:p>
    <w:p>
      <w:pPr>
        <w:pStyle w:val="63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1.6. Кожному користувачу побутовими електроприладами необхідно знати та пам’ятати, що електричний струм приховує в собі небезпеку, яка межує із загрозою для життя.</w:t>
      </w:r>
      <w:r/>
    </w:p>
    <w:p>
      <w:pPr>
        <w:pStyle w:val="63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1.7. Електричний стру</w:t>
      </w:r>
      <w:r>
        <w:rPr>
          <w:sz w:val="28"/>
          <w:szCs w:val="28"/>
        </w:rPr>
        <w:t xml:space="preserve">м небезпечний тим, що його дія на організм людини може викликати порушення серцевої діяльності, зупинку дихання, шоковий стан, опіки, а нерідко закінчується смертю. Через це користування електропобутовими приладами вимагає від користувача особливої уваги. </w:t>
      </w:r>
      <w:r/>
    </w:p>
    <w:p>
      <w:pPr>
        <w:pStyle w:val="63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1.8. При електричному ударі, коли струм проходить крізь тіло людини, у більшості випадків спочатку порушується дихання, при цьому серце продовжує працювати з порушенням свого ритму, після чого може статися його зупинка й настати смерть. </w:t>
      </w:r>
      <w:r>
        <w:rPr>
          <w:sz w:val="28"/>
          <w:szCs w:val="28"/>
        </w:rPr>
      </w:r>
      <w:r/>
    </w:p>
    <w:p>
      <w:pPr>
        <w:pStyle w:val="63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1.9. Електричні опіки тіла можуть бути отримані як від проходження електрич</w:t>
      </w:r>
      <w:r>
        <w:rPr>
          <w:sz w:val="28"/>
          <w:szCs w:val="28"/>
        </w:rPr>
        <w:t xml:space="preserve">ного струму через тіло людини, так і від іскрової вольтової дуги при короткому замиканні. При цьому опік може проявлятися почервонінням шкіри та утворенням на ній пухирів, а іноді може викликати глибоке пошкодження тканин тіла й навіть обвуглювання кісток.</w:t>
      </w:r>
      <w:r/>
    </w:p>
    <w:p>
      <w:pPr>
        <w:pStyle w:val="63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3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ІІ. Правила користування електроприладами</w:t>
      </w:r>
      <w:r/>
    </w:p>
    <w:p>
      <w:pPr>
        <w:pStyle w:val="63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Щоб уникнути ураження електричним струмом при користуванні електроприладами, необхідно дотримуватись наступних правил:</w:t>
      </w:r>
      <w:r/>
    </w:p>
    <w:p>
      <w:pPr>
        <w:pStyle w:val="63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Користуватися електроприладами, шнури живлення яких мають триполюсну вилку з випереджуючим вмиканням заземлювального (нульового) провідника.</w:t>
      </w:r>
      <w:r/>
    </w:p>
    <w:p>
      <w:pPr>
        <w:pStyle w:val="63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 Не вмикати до електромережі електроприлади, шнури живлення яких мають пошкоджену ізоляцію.</w:t>
      </w:r>
      <w:r/>
    </w:p>
    <w:p>
      <w:pPr>
        <w:pStyle w:val="63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2.3. Не вмикати до електромережі електроприлади, які мають ненадійне з’єднання вилок, розеток, подовжувачів з електричним шнуром.</w:t>
      </w:r>
      <w:r/>
    </w:p>
    <w:p>
      <w:pPr>
        <w:pStyle w:val="63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 Не вмикати електроприлади в розетки, які не мають захисних направляючих.</w:t>
      </w:r>
      <w:r/>
    </w:p>
    <w:p>
      <w:pPr>
        <w:pStyle w:val="63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2.5. Не користуватися пошкодженими розетками, відгалужувальними і з’єднувальними коробками та іншою електроарматурою, а також електролампами, скло яких має сліди затемнення або випинання.</w:t>
      </w:r>
      <w:r/>
    </w:p>
    <w:p>
      <w:pPr>
        <w:pStyle w:val="633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2.6. Не користуватися саморобними подовжувачами, які не відповідають вимогам Правил улаштування електроустановок щодо переносних  електропроводок.</w:t>
      </w:r>
      <w:r/>
    </w:p>
    <w:p>
      <w:pPr>
        <w:pStyle w:val="63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2.7. Не застосовувати для опалення приміщень нестандартного (саморобного) електронагрівального обладнання або ламп розжарювання.</w:t>
      </w:r>
      <w:r/>
    </w:p>
    <w:p>
      <w:pPr>
        <w:pStyle w:val="63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2.8. При користуванні електроприладами, які мають окремий (самостійний) провід заземлення, перед вмиканням їх до електромережі перевірити наявність та надійність  приєднаного заземлювального провідника до відповідних клем.</w:t>
      </w:r>
      <w:r/>
    </w:p>
    <w:p>
      <w:pPr>
        <w:pStyle w:val="633"/>
        <w:ind w:firstLine="709"/>
        <w:jc w:val="both"/>
      </w:pPr>
      <w:r>
        <w:rPr>
          <w:sz w:val="28"/>
          <w:szCs w:val="28"/>
        </w:rPr>
        <w:t xml:space="preserve">2.9. За можливості уникати дотику руками до металевих частин електроприладів, увімкнених до електромережі.</w:t>
      </w:r>
      <w:r/>
    </w:p>
    <w:p>
      <w:pPr>
        <w:pStyle w:val="63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2.10. Не торкатися руками до обірваних і оголених проводів електромережі.</w:t>
      </w:r>
      <w:r/>
    </w:p>
    <w:p>
      <w:pPr>
        <w:pStyle w:val="63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2.11. Не замінювати самостійно зіпсовані електрозапобіжники, електролампи, не проводити  ремонт електроприладів і електромережі.</w:t>
      </w:r>
      <w:r/>
    </w:p>
    <w:p>
      <w:pPr>
        <w:pStyle w:val="63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2.12. При прибиранні пилу з електроприладів, митті холодильників, підлоги біля них обов’язково вимикати їх з електромережі.</w:t>
      </w:r>
      <w:r/>
    </w:p>
    <w:p>
      <w:pPr>
        <w:pStyle w:val="63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2.13. Не залишати без догляду працюючі електроприлади.</w:t>
      </w:r>
      <w:r/>
    </w:p>
    <w:p>
      <w:pPr>
        <w:pStyle w:val="63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2.14. Після закінчення робочого дня вимкнути вимикач на електроприладі та від’єднати провід живлення від розетки електромережі.</w:t>
      </w:r>
      <w:r/>
    </w:p>
    <w:p>
      <w:pPr>
        <w:pStyle w:val="63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2.15. При від’єднанні вилки електроприладу від розетки її слід тримати за корпус, а не смикати за провід живлення.</w:t>
      </w:r>
      <w:r/>
    </w:p>
    <w:p>
      <w:pPr>
        <w:pStyle w:val="633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3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ІІІ. Дії  працівників </w:t>
      </w:r>
      <w:r>
        <w:rPr>
          <w:color w:val="000000"/>
          <w:sz w:val="28"/>
          <w:szCs w:val="28"/>
        </w:rPr>
        <w:t xml:space="preserve">міської ради</w:t>
      </w:r>
      <w:r>
        <w:rPr>
          <w:sz w:val="28"/>
          <w:szCs w:val="28"/>
        </w:rPr>
      </w:r>
      <w:r/>
    </w:p>
    <w:p>
      <w:pPr>
        <w:pStyle w:val="633"/>
        <w:jc w:val="center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п</w:t>
      </w:r>
      <w:r>
        <w:rPr>
          <w:sz w:val="28"/>
          <w:szCs w:val="28"/>
        </w:rPr>
        <w:t xml:space="preserve">ри враженні електричним струмом</w:t>
      </w:r>
      <w:r/>
    </w:p>
    <w:p>
      <w:pPr>
        <w:pStyle w:val="63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 Перш ніж надавати першу</w:t>
      </w:r>
      <w:r>
        <w:rPr>
          <w:sz w:val="28"/>
          <w:szCs w:val="28"/>
        </w:rPr>
        <w:t xml:space="preserve"> допомогу, необхідно звільнити потерпілого від дії струму - обгорнути руки сухою ганчіркою чи іншим предметом, стати на суху дошку і сухою палицею або гумою, що не проводять електричний струм, за одяг відтягнути потерпілого і звільнити його від дії струму.</w:t>
      </w:r>
      <w:r/>
    </w:p>
    <w:p>
      <w:pPr>
        <w:pStyle w:val="63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 Якщо відсутні ознаки життя (</w:t>
      </w:r>
      <w:r>
        <w:rPr>
          <w:sz w:val="28"/>
          <w:szCs w:val="28"/>
        </w:rPr>
        <w:t xml:space="preserve">подих, серцебиття, пульс), реакція на больові подразники, а зіниці очей розширені й не реагують на світло то вважається, що потерпілий перебуває у стані клінічної смерті, необхідно негайно приступити до штучної вентиляції легень і зовнішнього масажу серця:</w:t>
      </w:r>
      <w:r/>
    </w:p>
    <w:p>
      <w:pPr>
        <w:pStyle w:val="63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3.2.1. Розстібнути комір, розв’язати краватку або шарф, розстібнути пояс потерпілому, якщо порожнина рота заповнена сторонніми тілами, кров’ю, слизом, вибитими зубами, очистити її пальцем, обгорнутим бинтом або носовою хустинкою, повернути голов</w:t>
      </w:r>
      <w:r>
        <w:rPr>
          <w:sz w:val="28"/>
          <w:szCs w:val="28"/>
        </w:rPr>
        <w:t xml:space="preserve">у потерпілого набік; якщо рот постраждалого міцно стиснутий, розкрити його, для цього чотири пальці обох рук поставити позаду кутів нижньої щелепи і, спираючись великими пальцями в її край, висунути щелепу таким чином, щоб нижні зуби стояли перед верхніми.</w:t>
      </w:r>
      <w:r/>
    </w:p>
    <w:p>
      <w:pPr>
        <w:pStyle w:val="63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3.2.2. Найбільш ефективним способом штучної вентил</w:t>
      </w:r>
      <w:r>
        <w:rPr>
          <w:sz w:val="28"/>
          <w:szCs w:val="28"/>
        </w:rPr>
        <w:t xml:space="preserve">яції легень є спосіб рот у рот. Видихання повітря в рот або ніс можна робити через марлю, серветку чи носову хустинку, стежачи за тим, щоб при кожному видиханні відбувалося достатнє розширення грудної клітки потерпілого. Темп видиху - 8-24 видихи за хвилин</w:t>
      </w:r>
      <w:r>
        <w:rPr>
          <w:sz w:val="28"/>
          <w:szCs w:val="28"/>
        </w:rPr>
        <w:t xml:space="preserve">у. При штучній вентиляції легень не можна допускати охолодження постраждалого, тобто не залишати його на сирій землі або на холодній підлозі: під потерпілого варто підстелити що-небудь тепле, а зверху вкрити його. Коли подих потерпілого відновиться, штучну</w:t>
      </w:r>
      <w:r>
        <w:rPr>
          <w:sz w:val="28"/>
          <w:szCs w:val="28"/>
        </w:rPr>
        <w:t xml:space="preserve"> вентиляцію варто продовжувати так, щоб видих повітря збігався з власним вдихом потерпілого. Штучну вентиляцію легень слід проводити до повного приведення потерпілого у свідомість або до появи безперечних ознак біологічної смерті (трупних плям, задубіння).</w:t>
      </w:r>
      <w:r/>
    </w:p>
    <w:p>
      <w:pPr>
        <w:pStyle w:val="63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3.2.3. За відсутності пульсу в постраждалого необхідно одночасно зі штучною вентиляці</w:t>
      </w:r>
      <w:r>
        <w:rPr>
          <w:sz w:val="28"/>
          <w:szCs w:val="28"/>
        </w:rPr>
        <w:t xml:space="preserve">єю легень проводити зовнішній (непрямий) масаж серця, що полягає в ритмічному здавлюванні серця між грудиною і хребтом. При проведенні зовнішнього масажу серця потерпілого кладуть на спину на тверду основу (підлогу, землю). Варто стати збоку від потерпілог</w:t>
      </w:r>
      <w:r>
        <w:rPr>
          <w:sz w:val="28"/>
          <w:szCs w:val="28"/>
        </w:rPr>
        <w:t xml:space="preserve">о і долонями, накладеними одна на одну, надавлювати на грудину з такою силою, щоб прогнути її в напрямку до хребта на 4-5 см (60-70 натискань на хвилину). Руки повинні знаходитися на нижній третині грудини, тобто на два пальці вище мечоподібного відростка.</w:t>
      </w:r>
      <w:r/>
    </w:p>
    <w:p>
      <w:pPr>
        <w:pStyle w:val="633"/>
        <w:ind w:firstLine="73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 При отриманні потерпілим опіків, не торкаючись  руками обпечених місць, обережно накласти на пошкоджені місця стерильну пов’язку.</w:t>
      </w:r>
      <w:r/>
    </w:p>
    <w:p>
      <w:pPr>
        <w:pStyle w:val="633"/>
        <w:jc w:val="both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33"/>
        <w:rPr>
          <w:sz w:val="28"/>
          <w:szCs w:val="28"/>
        </w:rPr>
      </w:pPr>
      <w:r>
        <w:rPr>
          <w:sz w:val="28"/>
          <w:szCs w:val="28"/>
        </w:rPr>
        <w:t xml:space="preserve">Виконуючий функції служби охорони праці</w:t>
        <w:tab/>
        <w:tab/>
        <w:t xml:space="preserve"> </w:t>
      </w:r>
      <w:r/>
    </w:p>
    <w:sectPr>
      <w:headerReference w:type="default" r:id="rId9"/>
      <w:headerReference w:type="first" r:id="rId10"/>
      <w:footerReference w:type="default" r:id="rId11"/>
      <w:footerReference w:type="first" r:id="rId12"/>
      <w:footnotePr/>
      <w:endnotePr/>
      <w:type w:val="continuous"/>
      <w:pgSz w:w="11907" w:h="16840" w:orient="portrait"/>
      <w:pgMar w:top="1134" w:right="567" w:bottom="1134" w:left="1701" w:header="284" w:footer="567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/>
      <w:r>
        <w:separator/>
      </w:r>
      <w:r/>
    </w:p>
  </w:endnote>
  <w:endnote w:type="continuationSeparator" w:id="0">
    <w:p>
      <w:pPr>
        <w:spacing w:lineRule="auto" w:line="240" w:after="0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Wingdings">
    <w:panose1 w:val="05010000000000000000"/>
  </w:font>
  <w:font w:name="Symbol">
    <w:panose1 w:val="05010000000000000000"/>
  </w:font>
  <w:font w:name="Tahoma">
    <w:panose1 w:val="020B0604030504040204"/>
  </w:font>
  <w:font w:name="Courier New">
    <w:panose1 w:val="02070309020205020404"/>
  </w:font>
  <w:font w:name="Arial">
    <w:panose1 w:val="020B0604020202020204"/>
  </w:font>
  <w:font w:name="Calibri">
    <w:panose1 w:val="020F0502020204030204"/>
  </w:font>
  <w:font w:name="Cambria">
    <w:panose1 w:val="020206030504050203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2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2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/>
      <w:r>
        <w:separator/>
      </w:r>
      <w:r/>
    </w:p>
  </w:footnote>
  <w:footnote w:type="continuationSeparator" w:id="0">
    <w:p>
      <w:pPr>
        <w:spacing w:lineRule="auto" w:line="240" w:after="0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0"/>
      <w:jc w:val="center"/>
    </w:pPr>
    <w:fldSimple w:instr="PAGE \* MERGEFORMAT">
      <w:r>
        <w:t xml:space="preserve">1</w:t>
      </w:r>
    </w:fldSimple>
    <w:r/>
    <w:r/>
  </w:p>
  <w:p>
    <w:pPr>
      <w:pStyle w:val="40"/>
    </w:pP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0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nothing"/>
      <w:lvlText w:val=""/>
      <w:lvlJc w:val="left"/>
      <w:pPr>
        <w:pStyle w:val="633"/>
        <w:tabs>
          <w:tab w:val="num" w:pos="0" w:leader="none"/>
        </w:tabs>
      </w:pPr>
    </w:lvl>
    <w:lvl w:ilvl="1">
      <w:start w:val="1"/>
      <w:numFmt w:val="decimal"/>
      <w:isLgl w:val="false"/>
      <w:suff w:val="nothing"/>
      <w:lvlText w:val=""/>
      <w:lvlJc w:val="left"/>
      <w:pPr>
        <w:pStyle w:val="633"/>
        <w:tabs>
          <w:tab w:val="num" w:pos="0" w:leader="none"/>
        </w:tabs>
      </w:pPr>
    </w:lvl>
    <w:lvl w:ilvl="2">
      <w:start w:val="1"/>
      <w:numFmt w:val="decimal"/>
      <w:isLgl w:val="false"/>
      <w:suff w:val="nothing"/>
      <w:lvlText w:val=""/>
      <w:lvlJc w:val="left"/>
      <w:pPr>
        <w:pStyle w:val="633"/>
        <w:tabs>
          <w:tab w:val="num" w:pos="0" w:leader="none"/>
        </w:tabs>
      </w:pPr>
    </w:lvl>
    <w:lvl w:ilvl="3">
      <w:start w:val="1"/>
      <w:numFmt w:val="decimal"/>
      <w:isLgl w:val="false"/>
      <w:suff w:val="nothing"/>
      <w:lvlText w:val=""/>
      <w:lvlJc w:val="left"/>
      <w:pPr>
        <w:pStyle w:val="633"/>
        <w:tabs>
          <w:tab w:val="num" w:pos="0" w:leader="none"/>
        </w:tabs>
      </w:pPr>
    </w:lvl>
    <w:lvl w:ilvl="4">
      <w:start w:val="1"/>
      <w:numFmt w:val="decimal"/>
      <w:isLgl w:val="false"/>
      <w:suff w:val="nothing"/>
      <w:lvlText w:val=""/>
      <w:lvlJc w:val="left"/>
      <w:pPr>
        <w:pStyle w:val="633"/>
        <w:tabs>
          <w:tab w:val="num" w:pos="0" w:leader="none"/>
        </w:tabs>
      </w:pPr>
    </w:lvl>
    <w:lvl w:ilvl="5">
      <w:start w:val="1"/>
      <w:numFmt w:val="decimal"/>
      <w:isLgl w:val="false"/>
      <w:suff w:val="nothing"/>
      <w:lvlText w:val=""/>
      <w:lvlJc w:val="left"/>
      <w:pPr>
        <w:pStyle w:val="633"/>
        <w:tabs>
          <w:tab w:val="num" w:pos="0" w:leader="none"/>
        </w:tabs>
      </w:pPr>
    </w:lvl>
    <w:lvl w:ilvl="6">
      <w:start w:val="1"/>
      <w:numFmt w:val="decimal"/>
      <w:isLgl w:val="false"/>
      <w:suff w:val="nothing"/>
      <w:lvlText w:val=""/>
      <w:lvlJc w:val="left"/>
      <w:pPr>
        <w:pStyle w:val="633"/>
        <w:tabs>
          <w:tab w:val="num" w:pos="0" w:leader="none"/>
        </w:tabs>
      </w:pPr>
    </w:lvl>
    <w:lvl w:ilvl="7">
      <w:start w:val="1"/>
      <w:numFmt w:val="decimal"/>
      <w:isLgl w:val="false"/>
      <w:suff w:val="nothing"/>
      <w:lvlText w:val=""/>
      <w:lvlJc w:val="left"/>
      <w:pPr>
        <w:pStyle w:val="633"/>
        <w:tabs>
          <w:tab w:val="num" w:pos="0" w:leader="none"/>
        </w:tabs>
      </w:pPr>
    </w:lvl>
    <w:lvl w:ilvl="8">
      <w:start w:val="1"/>
      <w:numFmt w:val="decimal"/>
      <w:isLgl w:val="false"/>
      <w:suff w:val="nothing"/>
      <w:lvlText w:val=""/>
      <w:lvlJc w:val="left"/>
      <w:pPr>
        <w:pStyle w:val="633"/>
        <w:tabs>
          <w:tab w:val="num" w:pos="0" w:leader="none"/>
        </w:tabs>
      </w:p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33"/>
        <w:ind w:left="360" w:hanging="360"/>
        <w:tabs>
          <w:tab w:val="num" w:pos="36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33"/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pStyle w:val="633"/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pStyle w:val="633"/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633"/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pStyle w:val="633"/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633"/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633"/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pStyle w:val="633"/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633"/>
        <w:ind w:left="6480" w:hanging="180"/>
        <w:tabs>
          <w:tab w:val="num" w:pos="6480" w:leader="none"/>
        </w:tabs>
      </w:pPr>
    </w:lvl>
  </w:abstractNum>
  <w:abstractNum w:abstractNumId="3">
    <w:multiLevelType w:val="hybridMultilevel"/>
    <w:lvl w:ilvl="0">
      <w:start w:val="21"/>
      <w:numFmt w:val="bullet"/>
      <w:isLgl w:val="false"/>
      <w:suff w:val="tab"/>
      <w:lvlText w:val="-"/>
      <w:lvlJc w:val="left"/>
      <w:pPr>
        <w:pStyle w:val="633"/>
        <w:ind w:left="1085" w:hanging="360"/>
        <w:tabs>
          <w:tab w:val="num" w:pos="1085" w:leader="none"/>
        </w:tabs>
      </w:pPr>
      <w:rPr>
        <w:rFonts w:ascii="Times New Roman" w:hAnsi="Times New Roman" w:eastAsia="Times New Roman"/>
      </w:rPr>
    </w:lvl>
    <w:lvl w:ilvl="1">
      <w:start w:val="1"/>
      <w:numFmt w:val="bullet"/>
      <w:isLgl w:val="false"/>
      <w:suff w:val="tab"/>
      <w:lvlText w:val="o"/>
      <w:lvlJc w:val="left"/>
      <w:pPr>
        <w:pStyle w:val="633"/>
        <w:ind w:left="1805" w:hanging="360"/>
        <w:tabs>
          <w:tab w:val="num" w:pos="1805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633"/>
        <w:ind w:left="2525" w:hanging="360"/>
        <w:tabs>
          <w:tab w:val="num" w:pos="2525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633"/>
        <w:ind w:left="3245" w:hanging="360"/>
        <w:tabs>
          <w:tab w:val="num" w:pos="3245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633"/>
        <w:ind w:left="3965" w:hanging="360"/>
        <w:tabs>
          <w:tab w:val="num" w:pos="3965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633"/>
        <w:ind w:left="4685" w:hanging="360"/>
        <w:tabs>
          <w:tab w:val="num" w:pos="4685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633"/>
        <w:ind w:left="5405" w:hanging="360"/>
        <w:tabs>
          <w:tab w:val="num" w:pos="5405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633"/>
        <w:ind w:left="6125" w:hanging="360"/>
        <w:tabs>
          <w:tab w:val="num" w:pos="6125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633"/>
        <w:ind w:left="6845" w:hanging="360"/>
        <w:tabs>
          <w:tab w:val="num" w:pos="6845" w:leader="none"/>
        </w:tabs>
      </w:pPr>
      <w:rPr>
        <w:rFonts w:ascii="Wingdings" w:hAnsi="Wingdings"/>
      </w:rPr>
    </w:lvl>
  </w:abstractNum>
  <w:abstractNum w:abstractNumId="4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pStyle w:val="633"/>
        <w:ind w:left="381" w:hanging="381"/>
        <w:tabs>
          <w:tab w:val="num" w:pos="381" w:leader="none"/>
        </w:tabs>
      </w:pPr>
    </w:lvl>
    <w:lvl w:ilvl="1">
      <w:start w:val="1"/>
      <w:numFmt w:val="decimal"/>
      <w:isLgl w:val="false"/>
      <w:suff w:val="tab"/>
      <w:lvlText w:val="%1.%2."/>
      <w:lvlJc w:val="left"/>
      <w:pPr>
        <w:pStyle w:val="633"/>
        <w:ind w:left="665" w:hanging="381"/>
        <w:tabs>
          <w:tab w:val="num" w:pos="665" w:leader="none"/>
        </w:tabs>
      </w:pPr>
    </w:lvl>
    <w:lvl w:ilvl="2">
      <w:start w:val="1"/>
      <w:numFmt w:val="decimal"/>
      <w:isLgl w:val="false"/>
      <w:suff w:val="tab"/>
      <w:lvlText w:val="%1.%2.%3."/>
      <w:lvlJc w:val="left"/>
      <w:pPr>
        <w:pStyle w:val="633"/>
        <w:ind w:left="1288" w:hanging="720"/>
        <w:tabs>
          <w:tab w:val="num" w:pos="1288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pStyle w:val="633"/>
        <w:ind w:left="1572" w:hanging="720"/>
        <w:tabs>
          <w:tab w:val="num" w:pos="1572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pStyle w:val="633"/>
        <w:ind w:left="2216" w:hanging="1080"/>
        <w:tabs>
          <w:tab w:val="num" w:pos="2216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pStyle w:val="633"/>
        <w:ind w:left="2500" w:hanging="1080"/>
        <w:tabs>
          <w:tab w:val="num" w:pos="250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pStyle w:val="633"/>
        <w:ind w:left="3144" w:hanging="1440"/>
        <w:tabs>
          <w:tab w:val="num" w:pos="3144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633"/>
        <w:ind w:left="3428" w:hanging="1440"/>
        <w:tabs>
          <w:tab w:val="num" w:pos="3428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633"/>
        <w:ind w:left="4072" w:hanging="1800"/>
        <w:tabs>
          <w:tab w:val="num" w:pos="4072" w:leader="none"/>
        </w:tabs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33"/>
        <w:ind w:left="360" w:hanging="360"/>
        <w:tabs>
          <w:tab w:val="num" w:pos="360" w:leader="none"/>
        </w:tabs>
      </w:pPr>
    </w:lvl>
    <w:lvl w:ilvl="1">
      <w:start w:val="1"/>
      <w:numFmt w:val="decimal"/>
      <w:isLgl w:val="false"/>
      <w:suff w:val="tab"/>
      <w:lvlText w:val="%1.%2"/>
      <w:lvlJc w:val="left"/>
      <w:pPr>
        <w:pStyle w:val="633"/>
        <w:ind w:left="644" w:hanging="360"/>
        <w:tabs>
          <w:tab w:val="num" w:pos="644" w:leader="none"/>
        </w:tabs>
      </w:pPr>
    </w:lvl>
    <w:lvl w:ilvl="2">
      <w:start w:val="1"/>
      <w:numFmt w:val="decimal"/>
      <w:isLgl w:val="false"/>
      <w:suff w:val="tab"/>
      <w:lvlText w:val="%1.%2.%3"/>
      <w:lvlJc w:val="left"/>
      <w:pPr>
        <w:pStyle w:val="633"/>
        <w:ind w:left="1288" w:hanging="720"/>
        <w:tabs>
          <w:tab w:val="num" w:pos="1288" w:leader="none"/>
        </w:tabs>
      </w:pPr>
    </w:lvl>
    <w:lvl w:ilvl="3">
      <w:start w:val="1"/>
      <w:numFmt w:val="decimal"/>
      <w:isLgl w:val="false"/>
      <w:suff w:val="tab"/>
      <w:lvlText w:val="%1.%2.%3.%4"/>
      <w:lvlJc w:val="left"/>
      <w:pPr>
        <w:pStyle w:val="633"/>
        <w:ind w:left="1932" w:hanging="1080"/>
        <w:tabs>
          <w:tab w:val="num" w:pos="1932" w:leader="none"/>
        </w:tabs>
      </w:pPr>
    </w:lvl>
    <w:lvl w:ilvl="4">
      <w:start w:val="1"/>
      <w:numFmt w:val="decimal"/>
      <w:isLgl w:val="false"/>
      <w:suff w:val="tab"/>
      <w:lvlText w:val="%1.%2.%3.%4.%5"/>
      <w:lvlJc w:val="left"/>
      <w:pPr>
        <w:pStyle w:val="633"/>
        <w:ind w:left="2216" w:hanging="1080"/>
        <w:tabs>
          <w:tab w:val="num" w:pos="2216" w:leader="none"/>
        </w:tabs>
      </w:pPr>
    </w:lvl>
    <w:lvl w:ilvl="5">
      <w:start w:val="1"/>
      <w:numFmt w:val="decimal"/>
      <w:isLgl w:val="false"/>
      <w:suff w:val="tab"/>
      <w:lvlText w:val="%1.%2.%3.%4.%5.%6"/>
      <w:lvlJc w:val="left"/>
      <w:pPr>
        <w:pStyle w:val="633"/>
        <w:ind w:left="2860" w:hanging="1440"/>
        <w:tabs>
          <w:tab w:val="num" w:pos="2860" w:leader="none"/>
        </w:tabs>
      </w:pPr>
    </w:lvl>
    <w:lvl w:ilvl="6">
      <w:start w:val="1"/>
      <w:numFmt w:val="decimal"/>
      <w:isLgl w:val="false"/>
      <w:suff w:val="tab"/>
      <w:lvlText w:val="%1.%2.%3.%4.%5.%6.%7"/>
      <w:lvlJc w:val="left"/>
      <w:pPr>
        <w:pStyle w:val="633"/>
        <w:ind w:left="3144" w:hanging="1440"/>
        <w:tabs>
          <w:tab w:val="num" w:pos="3144" w:leader="none"/>
        </w:tabs>
      </w:pPr>
    </w:lvl>
    <w:lvl w:ilvl="7">
      <w:start w:val="1"/>
      <w:numFmt w:val="decimal"/>
      <w:isLgl w:val="false"/>
      <w:suff w:val="tab"/>
      <w:lvlText w:val="%1.%2.%3.%4.%5.%6.%7.%8"/>
      <w:lvlJc w:val="left"/>
      <w:pPr>
        <w:pStyle w:val="633"/>
        <w:ind w:left="3788" w:hanging="1800"/>
        <w:tabs>
          <w:tab w:val="num" w:pos="3788" w:leader="none"/>
        </w:tabs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pStyle w:val="633"/>
        <w:ind w:left="4432" w:hanging="2160"/>
        <w:tabs>
          <w:tab w:val="num" w:pos="4432" w:leader="none"/>
        </w:tabs>
      </w:p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33"/>
        <w:ind w:left="360" w:hanging="360"/>
        <w:tabs>
          <w:tab w:val="num" w:pos="36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33"/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pStyle w:val="633"/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pStyle w:val="633"/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633"/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pStyle w:val="633"/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633"/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633"/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pStyle w:val="633"/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633"/>
        <w:ind w:left="6480" w:hanging="180"/>
        <w:tabs>
          <w:tab w:val="num" w:pos="6480" w:leader="none"/>
        </w:tabs>
      </w:p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33"/>
        <w:ind w:left="360" w:hanging="360"/>
        <w:tabs>
          <w:tab w:val="num" w:pos="36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33"/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pStyle w:val="633"/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pStyle w:val="633"/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633"/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pStyle w:val="633"/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633"/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633"/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pStyle w:val="633"/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633"/>
        <w:ind w:left="6480" w:hanging="180"/>
        <w:tabs>
          <w:tab w:val="num" w:pos="6480" w:leader="none"/>
        </w:tabs>
      </w:p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33"/>
        <w:ind w:left="360" w:hanging="360"/>
        <w:tabs>
          <w:tab w:val="num" w:pos="36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33"/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pStyle w:val="633"/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pStyle w:val="633"/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633"/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pStyle w:val="633"/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633"/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633"/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pStyle w:val="633"/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633"/>
        <w:ind w:left="6480" w:hanging="180"/>
        <w:tabs>
          <w:tab w:val="num" w:pos="6480" w:leader="none"/>
        </w:tabs>
      </w:p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33"/>
        <w:ind w:left="360" w:hanging="360"/>
        <w:tabs>
          <w:tab w:val="num" w:pos="36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33"/>
        <w:ind w:left="360" w:hanging="360"/>
        <w:tabs>
          <w:tab w:val="num" w:pos="36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33"/>
        <w:ind w:left="360" w:hanging="360"/>
        <w:tabs>
          <w:tab w:val="num" w:pos="36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33"/>
        <w:ind w:left="420" w:hanging="420"/>
        <w:tabs>
          <w:tab w:val="num" w:pos="420" w:leader="none"/>
        </w:tabs>
      </w:pPr>
    </w:lvl>
    <w:lvl w:ilvl="1">
      <w:start w:val="1"/>
      <w:numFmt w:val="decimal"/>
      <w:isLgl w:val="false"/>
      <w:suff w:val="tab"/>
      <w:lvlText w:val="%1.%2."/>
      <w:lvlJc w:val="left"/>
      <w:pPr>
        <w:pStyle w:val="633"/>
        <w:ind w:left="780" w:hanging="420"/>
        <w:tabs>
          <w:tab w:val="num" w:pos="780" w:leader="none"/>
        </w:tabs>
      </w:pPr>
    </w:lvl>
    <w:lvl w:ilvl="2">
      <w:start w:val="1"/>
      <w:numFmt w:val="decimal"/>
      <w:isLgl w:val="false"/>
      <w:suff w:val="tab"/>
      <w:lvlText w:val="%1.%2.%3."/>
      <w:lvlJc w:val="left"/>
      <w:pPr>
        <w:pStyle w:val="633"/>
        <w:ind w:left="1440" w:hanging="720"/>
        <w:tabs>
          <w:tab w:val="num" w:pos="1440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pStyle w:val="633"/>
        <w:ind w:left="1800" w:hanging="720"/>
        <w:tabs>
          <w:tab w:val="num" w:pos="180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pStyle w:val="633"/>
        <w:ind w:left="2520" w:hanging="1080"/>
        <w:tabs>
          <w:tab w:val="num" w:pos="252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pStyle w:val="633"/>
        <w:ind w:left="2880" w:hanging="1080"/>
        <w:tabs>
          <w:tab w:val="num" w:pos="288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pStyle w:val="633"/>
        <w:ind w:left="3600" w:hanging="1440"/>
        <w:tabs>
          <w:tab w:val="num" w:pos="360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633"/>
        <w:ind w:left="3960" w:hanging="1440"/>
        <w:tabs>
          <w:tab w:val="num" w:pos="396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633"/>
        <w:ind w:left="4680" w:hanging="1800"/>
        <w:tabs>
          <w:tab w:val="num" w:pos="4680" w:leader="none"/>
        </w:tabs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33"/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pStyle w:val="633"/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pStyle w:val="633"/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633"/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pStyle w:val="633"/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633"/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633"/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pStyle w:val="633"/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633"/>
        <w:ind w:left="6480" w:hanging="180"/>
        <w:tabs>
          <w:tab w:val="num" w:pos="6480" w:leader="none"/>
        </w:tabs>
      </w:p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33"/>
        <w:ind w:left="360" w:hanging="360"/>
        <w:tabs>
          <w:tab w:val="num" w:pos="36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num w:numId="1">
    <w:abstractNumId w:val="5"/>
  </w:num>
  <w:num w:numId="2">
    <w:abstractNumId w:val="17"/>
  </w:num>
  <w:num w:numId="3">
    <w:abstractNumId w:val="1"/>
  </w:num>
  <w:num w:numId="4">
    <w:abstractNumId w:val="12"/>
  </w:num>
  <w:num w:numId="5">
    <w:abstractNumId w:val="6"/>
  </w:num>
  <w:num w:numId="6">
    <w:abstractNumId w:val="4"/>
  </w:num>
  <w:num w:numId="7">
    <w:abstractNumId w:val="15"/>
  </w:num>
  <w:num w:numId="8">
    <w:abstractNumId w:val="13"/>
  </w:num>
  <w:num w:numId="9">
    <w:abstractNumId w:val="8"/>
  </w:num>
  <w:num w:numId="10">
    <w:abstractNumId w:val="10"/>
  </w:num>
  <w:num w:numId="11">
    <w:abstractNumId w:val="14"/>
  </w:num>
  <w:num w:numId="12">
    <w:abstractNumId w:val="3"/>
  </w:num>
  <w:num w:numId="13">
    <w:abstractNumId w:val="9"/>
  </w:num>
  <w:num w:numId="14">
    <w:abstractNumId w:val="2"/>
  </w:num>
  <w:num w:numId="15">
    <w:abstractNumId w:val="11"/>
  </w:num>
  <w:num w:numId="16">
    <w:abstractNumId w:val="16"/>
  </w:num>
  <w:num w:numId="17">
    <w:abstractNumId w:val="7"/>
  </w:num>
  <w:num w:numId="18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/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bidi="ar-SA" w:eastAsia="zh-C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1">
    <w:name w:val="Heading 1"/>
    <w:basedOn w:val="647"/>
    <w:next w:val="647"/>
    <w:link w:val="12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12">
    <w:name w:val="Heading 1 Char"/>
    <w:basedOn w:val="9"/>
    <w:link w:val="11"/>
    <w:uiPriority w:val="9"/>
    <w:rPr>
      <w:rFonts w:ascii="Arial" w:hAnsi="Arial" w:cs="Arial" w:eastAsia="Arial"/>
      <w:sz w:val="40"/>
      <w:szCs w:val="40"/>
    </w:rPr>
  </w:style>
  <w:style w:type="paragraph" w:styleId="13">
    <w:name w:val="Heading 2"/>
    <w:basedOn w:val="647"/>
    <w:next w:val="647"/>
    <w:link w:val="14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14">
    <w:name w:val="Heading 2 Char"/>
    <w:basedOn w:val="9"/>
    <w:link w:val="13"/>
    <w:uiPriority w:val="9"/>
    <w:rPr>
      <w:rFonts w:ascii="Arial" w:hAnsi="Arial" w:cs="Arial" w:eastAsia="Arial"/>
      <w:sz w:val="34"/>
    </w:rPr>
  </w:style>
  <w:style w:type="paragraph" w:styleId="15">
    <w:name w:val="Heading 3"/>
    <w:basedOn w:val="647"/>
    <w:next w:val="647"/>
    <w:link w:val="16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16">
    <w:name w:val="Heading 3 Char"/>
    <w:basedOn w:val="9"/>
    <w:link w:val="15"/>
    <w:uiPriority w:val="9"/>
    <w:rPr>
      <w:rFonts w:ascii="Arial" w:hAnsi="Arial" w:cs="Arial" w:eastAsia="Arial"/>
      <w:sz w:val="30"/>
      <w:szCs w:val="30"/>
    </w:rPr>
  </w:style>
  <w:style w:type="paragraph" w:styleId="17">
    <w:name w:val="Heading 4"/>
    <w:basedOn w:val="647"/>
    <w:next w:val="647"/>
    <w:link w:val="18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18">
    <w:name w:val="Heading 4 Char"/>
    <w:basedOn w:val="9"/>
    <w:link w:val="17"/>
    <w:uiPriority w:val="9"/>
    <w:rPr>
      <w:rFonts w:ascii="Arial" w:hAnsi="Arial" w:cs="Arial" w:eastAsia="Arial"/>
      <w:b/>
      <w:bCs/>
      <w:sz w:val="26"/>
      <w:szCs w:val="26"/>
    </w:rPr>
  </w:style>
  <w:style w:type="paragraph" w:styleId="19">
    <w:name w:val="Heading 5"/>
    <w:basedOn w:val="647"/>
    <w:next w:val="647"/>
    <w:link w:val="20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20">
    <w:name w:val="Heading 5 Char"/>
    <w:basedOn w:val="9"/>
    <w:link w:val="19"/>
    <w:uiPriority w:val="9"/>
    <w:rPr>
      <w:rFonts w:ascii="Arial" w:hAnsi="Arial" w:cs="Arial" w:eastAsia="Arial"/>
      <w:b/>
      <w:bCs/>
      <w:sz w:val="24"/>
      <w:szCs w:val="24"/>
    </w:rPr>
  </w:style>
  <w:style w:type="paragraph" w:styleId="21">
    <w:name w:val="Heading 6"/>
    <w:basedOn w:val="647"/>
    <w:next w:val="647"/>
    <w:link w:val="22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22">
    <w:name w:val="Heading 6 Char"/>
    <w:basedOn w:val="9"/>
    <w:link w:val="21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647"/>
    <w:next w:val="647"/>
    <w:link w:val="24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24">
    <w:name w:val="Heading 7 Char"/>
    <w:basedOn w:val="9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647"/>
    <w:next w:val="647"/>
    <w:link w:val="26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26">
    <w:name w:val="Heading 8 Char"/>
    <w:basedOn w:val="9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647"/>
    <w:next w:val="647"/>
    <w:link w:val="28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28">
    <w:name w:val="Heading 9 Char"/>
    <w:basedOn w:val="9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29">
    <w:name w:val="List Paragraph"/>
    <w:basedOn w:val="647"/>
    <w:qFormat/>
    <w:uiPriority w:val="34"/>
    <w:pPr>
      <w:contextualSpacing w:val="true"/>
      <w:ind w:left="720"/>
    </w:pPr>
  </w:style>
  <w:style w:type="paragraph" w:styleId="31">
    <w:name w:val="No Spacing"/>
    <w:qFormat/>
    <w:uiPriority w:val="1"/>
    <w:pPr>
      <w:spacing w:lineRule="auto" w:line="240" w:after="0" w:before="0"/>
    </w:pPr>
  </w:style>
  <w:style w:type="paragraph" w:styleId="32">
    <w:name w:val="Title"/>
    <w:basedOn w:val="647"/>
    <w:next w:val="647"/>
    <w:link w:val="3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33">
    <w:name w:val="Title Char"/>
    <w:basedOn w:val="9"/>
    <w:link w:val="32"/>
    <w:uiPriority w:val="10"/>
    <w:rPr>
      <w:sz w:val="48"/>
      <w:szCs w:val="48"/>
    </w:rPr>
  </w:style>
  <w:style w:type="paragraph" w:styleId="34">
    <w:name w:val="Subtitle"/>
    <w:basedOn w:val="647"/>
    <w:next w:val="647"/>
    <w:link w:val="35"/>
    <w:qFormat/>
    <w:uiPriority w:val="11"/>
    <w:rPr>
      <w:sz w:val="24"/>
      <w:szCs w:val="24"/>
    </w:rPr>
    <w:pPr>
      <w:spacing w:after="200" w:before="200"/>
    </w:pPr>
  </w:style>
  <w:style w:type="character" w:styleId="35">
    <w:name w:val="Subtitle Char"/>
    <w:basedOn w:val="9"/>
    <w:link w:val="34"/>
    <w:uiPriority w:val="11"/>
    <w:rPr>
      <w:sz w:val="24"/>
      <w:szCs w:val="24"/>
    </w:rPr>
  </w:style>
  <w:style w:type="paragraph" w:styleId="36">
    <w:name w:val="Quote"/>
    <w:basedOn w:val="647"/>
    <w:next w:val="647"/>
    <w:link w:val="37"/>
    <w:qFormat/>
    <w:uiPriority w:val="29"/>
    <w:rPr>
      <w:i/>
    </w:rPr>
    <w:pPr>
      <w:ind w:left="720" w:right="720"/>
    </w:p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647"/>
    <w:next w:val="647"/>
    <w:link w:val="39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39">
    <w:name w:val="Intense Quote Char"/>
    <w:link w:val="38"/>
    <w:uiPriority w:val="30"/>
    <w:rPr>
      <w:i/>
    </w:rPr>
  </w:style>
  <w:style w:type="paragraph" w:styleId="40">
    <w:name w:val="Header"/>
    <w:basedOn w:val="647"/>
    <w:link w:val="41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1">
    <w:name w:val="Header Char"/>
    <w:basedOn w:val="9"/>
    <w:link w:val="40"/>
    <w:uiPriority w:val="99"/>
  </w:style>
  <w:style w:type="paragraph" w:styleId="42">
    <w:name w:val="Footer"/>
    <w:basedOn w:val="647"/>
    <w:link w:val="45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3">
    <w:name w:val="Footer Char"/>
    <w:basedOn w:val="9"/>
    <w:link w:val="42"/>
    <w:uiPriority w:val="99"/>
  </w:style>
  <w:style w:type="paragraph" w:styleId="44">
    <w:name w:val="Caption"/>
    <w:basedOn w:val="647"/>
    <w:next w:val="647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45">
    <w:name w:val="Caption Char"/>
    <w:basedOn w:val="44"/>
    <w:link w:val="42"/>
    <w:uiPriority w:val="99"/>
  </w:style>
  <w:style w:type="table" w:styleId="46">
    <w:name w:val="Table Grid"/>
    <w:basedOn w:val="30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">
    <w:name w:val="Table Grid Light"/>
    <w:basedOn w:val="30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30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30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3">
    <w:name w:val="Grid Table 1 Light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1">
    <w:name w:val="Grid Table 2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2">
    <w:name w:val="Grid Table 2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3">
    <w:name w:val="Grid Table 2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4">
    <w:name w:val="Grid Table 2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5">
    <w:name w:val="Grid Table 2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6">
    <w:name w:val="Grid Table 2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7">
    <w:name w:val="Grid Table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8">
    <w:name w:val="Grid Table 3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">
    <w:name w:val="Grid Table 3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">
    <w:name w:val="Grid Table 3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">
    <w:name w:val="Grid Table 3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">
    <w:name w:val="Grid Table 3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3">
    <w:name w:val="Grid Table 3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4">
    <w:name w:val="Grid Table 4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5">
    <w:name w:val="Grid Table 4 - Accent 1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6">
    <w:name w:val="Grid Table 4 - Accent 2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7">
    <w:name w:val="Grid Table 4 - Accent 3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8">
    <w:name w:val="Grid Table 4 - Accent 4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9">
    <w:name w:val="Grid Table 4 - Accent 5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80">
    <w:name w:val="Grid Table 4 - Accent 6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81">
    <w:name w:val="Grid Table 5 Dark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text1" w:themeTint="40"/>
    </w:tblPr>
    <w:tblStylePr w:type="band1Horz">
      <w:tcPr>
        <w:shd w:val="clear" w:color="FFFFFF" w:themeColor="text1" w:themeTint="75"/>
      </w:tcPr>
    </w:tblStylePr>
    <w:tblStylePr w:type="band1Vert">
      <w:tcPr>
        <w:shd w:val="clear" w:color="FFFFFF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top w:val="single" w:color="000000" w:sz="4" w:space="0" w:themeColor="light1"/>
        </w:tcBorders>
      </w:tcPr>
    </w:tblStylePr>
  </w:style>
  <w:style w:type="table" w:styleId="82">
    <w:name w:val="Grid Table 5 Dark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1" w:themeTint="34"/>
    </w:tblPr>
    <w:tblStylePr w:type="band1Horz">
      <w:tcPr>
        <w:shd w:val="clear" w:color="FFFFFF" w:themeColor="accent1" w:themeTint="75"/>
      </w:tcPr>
    </w:tblStylePr>
    <w:tblStylePr w:type="band1Vert">
      <w:tcPr>
        <w:shd w:val="clear" w:color="FFFFFF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/>
        <w:tcBorders>
          <w:top w:val="single" w:color="000000" w:sz="4" w:space="0" w:themeColor="light1"/>
        </w:tcBorders>
      </w:tcPr>
    </w:tblStylePr>
  </w:style>
  <w:style w:type="table" w:styleId="83">
    <w:name w:val="Grid Table 5 Dark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2" w:themeTint="32"/>
    </w:tblPr>
    <w:tblStylePr w:type="band1Horz">
      <w:tcPr>
        <w:shd w:val="clear" w:color="FFFFFF" w:themeColor="accent2" w:themeTint="75"/>
      </w:tcPr>
    </w:tblStylePr>
    <w:tblStylePr w:type="band1Vert">
      <w:tcPr>
        <w:shd w:val="clear" w:color="FFFFFF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/>
        <w:tcBorders>
          <w:top w:val="single" w:color="000000" w:sz="4" w:space="0" w:themeColor="light1"/>
        </w:tcBorders>
      </w:tcPr>
    </w:tblStylePr>
  </w:style>
  <w:style w:type="table" w:styleId="84">
    <w:name w:val="Grid Table 5 Dark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3" w:themeTint="34"/>
    </w:tblPr>
    <w:tblStylePr w:type="band1Horz">
      <w:tcPr>
        <w:shd w:val="clear" w:color="FFFFFF" w:themeColor="accent3" w:themeTint="75"/>
      </w:tcPr>
    </w:tblStylePr>
    <w:tblStylePr w:type="band1Vert">
      <w:tcPr>
        <w:shd w:val="clear" w:color="FFFFFF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/>
        <w:tcBorders>
          <w:top w:val="single" w:color="000000" w:sz="4" w:space="0" w:themeColor="light1"/>
        </w:tcBorders>
      </w:tcPr>
    </w:tblStylePr>
  </w:style>
  <w:style w:type="table" w:styleId="85">
    <w:name w:val="Grid Table 5 Dark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4" w:themeTint="34"/>
    </w:tblPr>
    <w:tblStylePr w:type="band1Horz">
      <w:tcPr>
        <w:shd w:val="clear" w:color="FFFFFF" w:themeColor="accent4" w:themeTint="75"/>
      </w:tcPr>
    </w:tblStylePr>
    <w:tblStylePr w:type="band1Vert">
      <w:tcPr>
        <w:shd w:val="clear" w:color="FFFFFF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/>
        <w:tcBorders>
          <w:top w:val="single" w:color="000000" w:sz="4" w:space="0" w:themeColor="light1"/>
        </w:tcBorders>
      </w:tcPr>
    </w:tblStylePr>
  </w:style>
  <w:style w:type="table" w:styleId="86">
    <w:name w:val="Grid Table 5 Dark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5" w:themeTint="34"/>
    </w:tblPr>
    <w:tblStylePr w:type="band1Horz">
      <w:tcPr>
        <w:shd w:val="clear" w:color="FFFFFF" w:themeColor="accent5" w:themeTint="75"/>
      </w:tcPr>
    </w:tblStylePr>
    <w:tblStylePr w:type="band1Vert">
      <w:tcPr>
        <w:shd w:val="clear" w:color="FFFFFF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/>
        <w:tcBorders>
          <w:top w:val="single" w:color="000000" w:sz="4" w:space="0" w:themeColor="light1"/>
        </w:tcBorders>
      </w:tcPr>
    </w:tblStylePr>
  </w:style>
  <w:style w:type="table" w:styleId="87">
    <w:name w:val="Grid Table 5 Dark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6" w:themeTint="34"/>
    </w:tblPr>
    <w:tblStylePr w:type="band1Horz">
      <w:tcPr>
        <w:shd w:val="clear" w:color="FFFFFF" w:themeColor="accent6" w:themeTint="75"/>
      </w:tcPr>
    </w:tblStylePr>
    <w:tblStylePr w:type="band1Vert">
      <w:tcPr>
        <w:shd w:val="clear" w:color="FFFFFF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/>
        <w:tcBorders>
          <w:top w:val="single" w:color="000000" w:sz="4" w:space="0" w:themeColor="light1"/>
        </w:tcBorders>
      </w:tcPr>
    </w:tblStylePr>
  </w:style>
  <w:style w:type="table" w:styleId="88">
    <w:name w:val="Grid Table 6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/>
      </w:tcPr>
    </w:tblStylePr>
    <w:tblStylePr w:type="band1Vert">
      <w:tcPr>
        <w:shd w:val="clear" w:color="FFFFFF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/>
      </w:tcPr>
    </w:tblStylePr>
    <w:tblStylePr w:type="band1Vert">
      <w:tcPr>
        <w:shd w:val="clear" w:color="FFFFFF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/>
      </w:tcPr>
    </w:tblStylePr>
    <w:tblStylePr w:type="band1Vert">
      <w:tcPr>
        <w:shd w:val="clear" w:color="FFFFFF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/>
      </w:tcPr>
    </w:tblStylePr>
    <w:tblStylePr w:type="band1Vert">
      <w:tcPr>
        <w:shd w:val="clear" w:color="FFFFFF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/>
      </w:tcPr>
    </w:tblStylePr>
    <w:tblStylePr w:type="band1Vert">
      <w:tcPr>
        <w:shd w:val="clear" w:color="FFFFFF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/>
      </w:tcPr>
    </w:tblStylePr>
    <w:tblStylePr w:type="band1Vert">
      <w:tcPr>
        <w:shd w:val="clear" w:color="FFFFFF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/>
      </w:tcPr>
    </w:tblStylePr>
    <w:tblStylePr w:type="band1Vert">
      <w:tcPr>
        <w:shd w:val="clear" w:color="FFFFFF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</w:style>
  <w:style w:type="table" w:styleId="96">
    <w:name w:val="Grid Table 7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/>
      </w:tcPr>
    </w:tblStylePr>
    <w:tblStylePr w:type="band1Vert">
      <w:tcPr>
        <w:shd w:val="clear" w:color="FFFFFF" w:themeColor="accent1" w:theme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 w:themeTint="80"/>
          <w:bottom w:val="none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1" w:themeTint="80"/>
          <w:right w:val="none"/>
          <w:bottom w:val="none"/>
        </w:tcBorders>
      </w:tcPr>
    </w:tblStylePr>
  </w:style>
  <w:style w:type="table" w:styleId="97">
    <w:name w:val="Grid Table 7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/>
      </w:tcPr>
    </w:tblStylePr>
    <w:tblStylePr w:type="band1Vert">
      <w:tcPr>
        <w:shd w:val="clear" w:color="FFFFFF" w:themeColor="accent2" w:theme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</w:style>
  <w:style w:type="table" w:styleId="98">
    <w:name w:val="Grid Table 7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/>
      </w:tcPr>
    </w:tblStylePr>
    <w:tblStylePr w:type="band1Vert">
      <w:tcPr>
        <w:shd w:val="clear" w:color="FFFFFF" w:themeColor="accent3" w:theme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FE"/>
          <w:bottom w:val="none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3" w:themeTint="FE"/>
          <w:right w:val="none"/>
          <w:bottom w:val="none"/>
        </w:tcBorders>
      </w:tcPr>
    </w:tblStylePr>
  </w:style>
  <w:style w:type="table" w:styleId="99">
    <w:name w:val="Grid Table 7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/>
      </w:tcPr>
    </w:tblStylePr>
    <w:tblStylePr w:type="band1Vert">
      <w:tcPr>
        <w:shd w:val="clear" w:color="FFFFFF" w:themeColor="accent4" w:theme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</w:style>
  <w:style w:type="table" w:styleId="100">
    <w:name w:val="Grid Table 7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/>
      </w:tcPr>
    </w:tblStylePr>
    <w:tblStylePr w:type="band1Vert">
      <w:tcPr>
        <w:shd w:val="clear" w:color="FFFFFF" w:themeColor="accent5" w:theme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0"/>
          <w:bottom w:val="none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5" w:themeTint="90"/>
          <w:right w:val="none"/>
          <w:bottom w:val="none"/>
        </w:tcBorders>
      </w:tcPr>
    </w:tblStylePr>
  </w:style>
  <w:style w:type="table" w:styleId="101">
    <w:name w:val="Grid Table 7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/>
      </w:tcPr>
    </w:tblStylePr>
    <w:tblStylePr w:type="band1Vert">
      <w:tcPr>
        <w:shd w:val="clear" w:color="FFFFFF" w:themeColor="accent6" w:theme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0"/>
          <w:bottom w:val="none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6" w:themeTint="90"/>
          <w:right w:val="none"/>
          <w:bottom w:val="none"/>
        </w:tcBorders>
      </w:tcPr>
    </w:tblStylePr>
  </w:style>
  <w:style w:type="table" w:styleId="102">
    <w:name w:val="List Table 1 Light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03">
    <w:name w:val="List Table 1 Light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04">
    <w:name w:val="List Table 1 Light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05">
    <w:name w:val="List Table 1 Light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06">
    <w:name w:val="List Table 1 Light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07">
    <w:name w:val="List Table 1 Light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08">
    <w:name w:val="List Table 1 Light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09">
    <w:name w:val="List Table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110">
    <w:name w:val="List Table 2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111">
    <w:name w:val="List Table 2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112">
    <w:name w:val="List Table 2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113">
    <w:name w:val="List Table 2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114">
    <w:name w:val="List Table 2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115">
    <w:name w:val="List Table 2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116">
    <w:name w:val="List Table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Color="text1" w:themeTint="80"/>
    </w:tblPr>
    <w:tblStylePr w:type="band1Horz">
      <w:tcPr>
        <w:shd w:val="clear" w:color="FFFFFF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Color="accent1"/>
    </w:tblPr>
    <w:tblStylePr w:type="band1Horz">
      <w:tcPr>
        <w:shd w:val="clear" w:color="FFFFFF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Color="accent2" w:themeTint="97"/>
    </w:tblPr>
    <w:tblStylePr w:type="band1Horz">
      <w:tcPr>
        <w:shd w:val="clear" w:color="FFFFFF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Color="accent3" w:themeTint="98"/>
    </w:tblPr>
    <w:tblStylePr w:type="band1Horz">
      <w:tcPr>
        <w:shd w:val="clear" w:color="FFFFFF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Color="accent4" w:themeTint="9A"/>
    </w:tblPr>
    <w:tblStylePr w:type="band1Horz">
      <w:tcPr>
        <w:shd w:val="clear" w:color="FFFFFF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Color="accent5" w:themeTint="9A"/>
    </w:tblPr>
    <w:tblStylePr w:type="band1Horz">
      <w:tcPr>
        <w:shd w:val="clear" w:color="FFFFFF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Color="accent6" w:themeTint="98"/>
    </w:tblPr>
    <w:tblStylePr w:type="band1Horz">
      <w:tcPr>
        <w:shd w:val="clear" w:color="FFFFFF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138">
    <w:name w:val="List Table 6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139">
    <w:name w:val="List Table 6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140">
    <w:name w:val="List Table 6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141">
    <w:name w:val="List Table 6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142">
    <w:name w:val="List Table 6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143">
    <w:name w:val="List Table 6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144">
    <w:name w:val="List Table 7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/>
          <w:bottom w:val="none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1"/>
          <w:right w:val="none"/>
          <w:bottom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6">
    <w:name w:val="List Table 7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7">
    <w:name w:val="List Table 7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98"/>
          <w:bottom w:val="none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3" w:themeTint="98"/>
          <w:right w:val="none"/>
          <w:bottom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8">
    <w:name w:val="List Table 7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49">
    <w:name w:val="List Table 7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A"/>
          <w:bottom w:val="none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5" w:themeTint="9A"/>
          <w:right w:val="none"/>
          <w:bottom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0">
    <w:name w:val="List Table 7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8"/>
          <w:bottom w:val="none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6" w:themeTint="98"/>
          <w:right w:val="none"/>
          <w:bottom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1">
    <w:name w:val="Lined - Accent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</w:style>
  <w:style w:type="table" w:styleId="152">
    <w:name w:val="Lined - Accent 1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</w:style>
  <w:style w:type="table" w:styleId="153">
    <w:name w:val="Lined - Accent 2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</w:style>
  <w:style w:type="table" w:styleId="154">
    <w:name w:val="Lined - Accent 3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</w:style>
  <w:style w:type="table" w:styleId="155">
    <w:name w:val="Lined - Accent 4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</w:style>
  <w:style w:type="table" w:styleId="156">
    <w:name w:val="Lined - Accent 5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/>
      </w:tcPr>
    </w:tblStylePr>
  </w:style>
  <w:style w:type="table" w:styleId="157">
    <w:name w:val="Lined - Accent 6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/>
      </w:tcPr>
    </w:tblStylePr>
  </w:style>
  <w:style w:type="table" w:styleId="158">
    <w:name w:val="Bordered &amp; Lined - Accent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</w:style>
  <w:style w:type="table" w:styleId="159">
    <w:name w:val="Bordered &amp; Lined - Accent 1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</w:style>
  <w:style w:type="table" w:styleId="160">
    <w:name w:val="Bordered &amp; Lined - Accent 2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</w:style>
  <w:style w:type="table" w:styleId="161">
    <w:name w:val="Bordered &amp; Lined - Accent 3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</w:style>
  <w:style w:type="table" w:styleId="162">
    <w:name w:val="Bordered &amp; Lined - Accent 4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</w:style>
  <w:style w:type="table" w:styleId="163">
    <w:name w:val="Bordered &amp; Lined - Accent 5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/>
      </w:tcPr>
    </w:tblStylePr>
  </w:style>
  <w:style w:type="table" w:styleId="164">
    <w:name w:val="Bordered &amp; Lined - Accent 6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/>
      </w:tcPr>
    </w:tblStylePr>
  </w:style>
  <w:style w:type="table" w:styleId="165">
    <w:name w:val="Bordered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166">
    <w:name w:val="Bordered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167">
    <w:name w:val="Bordered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168">
    <w:name w:val="Bordered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169">
    <w:name w:val="Bordered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170">
    <w:name w:val="Bordered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171">
    <w:name w:val="Bordered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172">
    <w:name w:val="Hyperlink"/>
    <w:uiPriority w:val="99"/>
    <w:unhideWhenUsed/>
    <w:rPr>
      <w:color w:val="0000FF" w:themeColor="hyperlink"/>
      <w:u w:val="single"/>
    </w:rPr>
  </w:style>
  <w:style w:type="paragraph" w:styleId="173">
    <w:name w:val="footnote text"/>
    <w:basedOn w:val="647"/>
    <w:link w:val="174"/>
    <w:uiPriority w:val="99"/>
    <w:semiHidden/>
    <w:unhideWhenUsed/>
    <w:rPr>
      <w:sz w:val="18"/>
    </w:rPr>
    <w:pPr>
      <w:spacing w:lineRule="auto" w:line="240" w:after="40"/>
    </w:pPr>
  </w:style>
  <w:style w:type="character" w:styleId="174">
    <w:name w:val="Footnote Text Char"/>
    <w:link w:val="173"/>
    <w:uiPriority w:val="99"/>
    <w:rPr>
      <w:sz w:val="18"/>
    </w:rPr>
  </w:style>
  <w:style w:type="character" w:styleId="175">
    <w:name w:val="footnote reference"/>
    <w:basedOn w:val="9"/>
    <w:uiPriority w:val="99"/>
    <w:unhideWhenUsed/>
    <w:rPr>
      <w:vertAlign w:val="superscript"/>
    </w:rPr>
  </w:style>
  <w:style w:type="paragraph" w:styleId="176">
    <w:name w:val="endnote text"/>
    <w:basedOn w:val="647"/>
    <w:link w:val="177"/>
    <w:uiPriority w:val="99"/>
    <w:semiHidden/>
    <w:unhideWhenUsed/>
    <w:rPr>
      <w:sz w:val="20"/>
    </w:rPr>
    <w:pPr>
      <w:spacing w:lineRule="auto" w:line="240" w:after="0"/>
    </w:p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9"/>
    <w:uiPriority w:val="99"/>
    <w:semiHidden/>
    <w:unhideWhenUsed/>
    <w:rPr>
      <w:vertAlign w:val="superscript"/>
    </w:rPr>
  </w:style>
  <w:style w:type="paragraph" w:styleId="179">
    <w:name w:val="toc 1"/>
    <w:basedOn w:val="647"/>
    <w:next w:val="647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647"/>
    <w:next w:val="647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647"/>
    <w:next w:val="647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647"/>
    <w:next w:val="647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647"/>
    <w:next w:val="647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647"/>
    <w:next w:val="647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647"/>
    <w:next w:val="647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647"/>
    <w:next w:val="647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647"/>
    <w:next w:val="647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189">
    <w:name w:val="table of figures"/>
    <w:basedOn w:val="647"/>
    <w:next w:val="647"/>
    <w:uiPriority w:val="99"/>
    <w:unhideWhenUsed/>
    <w:pPr>
      <w:spacing w:after="0" w:afterAutospacing="0"/>
    </w:pPr>
  </w:style>
  <w:style w:type="paragraph" w:styleId="633">
    <w:name w:val="Обычный"/>
    <w:next w:val="633"/>
    <w:link w:val="633"/>
    <w:rPr>
      <w:sz w:val="24"/>
      <w:szCs w:val="24"/>
      <w:lang w:val="uk-UA" w:bidi="ar-SA" w:eastAsia="ru-RU"/>
    </w:rPr>
  </w:style>
  <w:style w:type="paragraph" w:styleId="634">
    <w:name w:val="Заголовок 1"/>
    <w:basedOn w:val="633"/>
    <w:next w:val="633"/>
    <w:link w:val="633"/>
    <w:rPr>
      <w:b/>
      <w:sz w:val="20"/>
      <w:szCs w:val="20"/>
      <w:lang w:val="uk-UA"/>
    </w:rPr>
    <w:pPr>
      <w:ind w:left="5387"/>
      <w:keepNext/>
      <w:outlineLvl w:val="0"/>
    </w:pPr>
  </w:style>
  <w:style w:type="paragraph" w:styleId="635">
    <w:name w:val="Заголовок 3"/>
    <w:basedOn w:val="633"/>
    <w:next w:val="633"/>
    <w:link w:val="633"/>
    <w:rPr>
      <w:b/>
      <w:sz w:val="28"/>
      <w:szCs w:val="20"/>
      <w:lang w:val="uk-UA"/>
    </w:rPr>
    <w:pPr>
      <w:jc w:val="center"/>
      <w:keepNext/>
      <w:outlineLvl w:val="2"/>
    </w:pPr>
  </w:style>
  <w:style w:type="paragraph" w:styleId="636">
    <w:name w:val="Заголовок 4"/>
    <w:basedOn w:val="633"/>
    <w:next w:val="633"/>
    <w:link w:val="633"/>
    <w:rPr>
      <w:b/>
      <w:sz w:val="20"/>
      <w:szCs w:val="20"/>
      <w:lang w:val="uk-UA"/>
    </w:rPr>
    <w:pPr>
      <w:ind w:left="709"/>
      <w:keepNext/>
      <w:outlineLvl w:val="3"/>
    </w:pPr>
  </w:style>
  <w:style w:type="paragraph" w:styleId="637">
    <w:name w:val="Заголовок 8"/>
    <w:basedOn w:val="633"/>
    <w:next w:val="633"/>
    <w:link w:val="633"/>
    <w:rPr>
      <w:i/>
      <w:iCs/>
    </w:rPr>
    <w:pPr>
      <w:spacing w:after="60" w:before="240"/>
      <w:outlineLvl w:val="7"/>
    </w:pPr>
  </w:style>
  <w:style w:type="character" w:styleId="638">
    <w:name w:val="Основной шрифт абзаца"/>
    <w:next w:val="638"/>
    <w:link w:val="633"/>
    <w:semiHidden/>
  </w:style>
  <w:style w:type="table" w:styleId="639">
    <w:name w:val="Обычная таблица"/>
    <w:next w:val="639"/>
    <w:link w:val="633"/>
    <w:semiHidden/>
    <w:tblPr/>
  </w:style>
  <w:style w:type="numbering" w:styleId="640">
    <w:name w:val="Нет списка"/>
    <w:next w:val="640"/>
    <w:link w:val="633"/>
    <w:semiHidden/>
  </w:style>
  <w:style w:type="paragraph" w:styleId="641">
    <w:name w:val="Основной текст"/>
    <w:basedOn w:val="633"/>
    <w:next w:val="641"/>
    <w:link w:val="633"/>
    <w:rPr>
      <w:sz w:val="20"/>
      <w:szCs w:val="20"/>
      <w:lang w:val="uk-UA"/>
    </w:rPr>
  </w:style>
  <w:style w:type="paragraph" w:styleId="642">
    <w:name w:val="Стандартный HTML"/>
    <w:basedOn w:val="633"/>
    <w:next w:val="642"/>
    <w:link w:val="633"/>
    <w:rPr>
      <w:rFonts w:ascii="Courier New" w:hAnsi="Courier New"/>
      <w:sz w:val="20"/>
      <w:szCs w:val="20"/>
      <w:lang w:eastAsia="uk-UA"/>
    </w:rPr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</w:style>
  <w:style w:type="table" w:styleId="643">
    <w:name w:val="Сетка таблицы"/>
    <w:basedOn w:val="639"/>
    <w:next w:val="643"/>
    <w:link w:val="633"/>
    <w:tblPr/>
  </w:style>
  <w:style w:type="paragraph" w:styleId="644">
    <w:name w:val="Основной текст с отступом"/>
    <w:basedOn w:val="633"/>
    <w:next w:val="644"/>
    <w:link w:val="633"/>
    <w:pPr>
      <w:ind w:left="283"/>
      <w:spacing w:after="120"/>
    </w:pPr>
  </w:style>
  <w:style w:type="paragraph" w:styleId="645">
    <w:name w:val="Основной текст с отступом 2"/>
    <w:basedOn w:val="633"/>
    <w:next w:val="645"/>
    <w:link w:val="633"/>
    <w:pPr>
      <w:ind w:left="283"/>
      <w:spacing w:lineRule="auto" w:line="480" w:after="120"/>
    </w:pPr>
  </w:style>
  <w:style w:type="paragraph" w:styleId="646">
    <w:name w:val="Текст выноски"/>
    <w:basedOn w:val="633"/>
    <w:next w:val="646"/>
    <w:link w:val="633"/>
    <w:semiHidden/>
    <w:rPr>
      <w:rFonts w:ascii="Tahoma" w:hAnsi="Tahoma"/>
      <w:sz w:val="16"/>
      <w:szCs w:val="16"/>
    </w:rPr>
  </w:style>
  <w:style w:type="paragraph" w:styleId="647" w:default="1">
    <w:name w:val="Normal"/>
    <w:next w:val="647"/>
    <w:link w:val="633"/>
    <w:rPr>
      <w:lang w:val="ru-RU" w:bidi="ar-SA" w:eastAsia="ru-RU"/>
    </w:rPr>
    <w:pPr>
      <w:widowControl w:val="off"/>
    </w:pPr>
  </w:style>
  <w:style w:type="paragraph" w:styleId="648">
    <w:name w:val="msonospacing wym_center"/>
    <w:basedOn w:val="633"/>
    <w:next w:val="648"/>
    <w:link w:val="633"/>
    <w:rPr>
      <w:lang w:val="ru-RU"/>
    </w:rPr>
    <w:pPr>
      <w:spacing w:after="100" w:afterAutospacing="1" w:before="100" w:beforeAutospacing="1"/>
    </w:pPr>
  </w:style>
  <w:style w:type="character" w:styleId="649">
    <w:name w:val="Строгий"/>
    <w:next w:val="649"/>
    <w:link w:val="633"/>
    <w:rPr>
      <w:b/>
      <w:bCs/>
    </w:rPr>
  </w:style>
  <w:style w:type="paragraph" w:styleId="650">
    <w:name w:val="Цитата"/>
    <w:basedOn w:val="633"/>
    <w:next w:val="650"/>
    <w:link w:val="633"/>
    <w:semiHidden/>
    <w:rPr>
      <w:b/>
      <w:bCs/>
      <w:sz w:val="28"/>
      <w:szCs w:val="28"/>
      <w:lang w:val="ru-RU"/>
    </w:rPr>
    <w:pPr>
      <w:ind w:left="360" w:right="400"/>
      <w:jc w:val="center"/>
      <w:spacing w:before="340"/>
    </w:pPr>
  </w:style>
  <w:style w:type="paragraph" w:styleId="651">
    <w:name w:val="Название"/>
    <w:basedOn w:val="633"/>
    <w:next w:val="651"/>
    <w:link w:val="633"/>
    <w:rPr>
      <w:rFonts w:ascii="Arial" w:hAnsi="Arial"/>
      <w:b/>
      <w:bCs/>
      <w:color w:val="000000"/>
      <w:spacing w:val="-11"/>
      <w:sz w:val="22"/>
      <w:szCs w:val="23"/>
    </w:rPr>
    <w:pPr>
      <w:jc w:val="center"/>
      <w:shd w:val="clear" w:fill="FFFFFF" w:color="auto"/>
      <w:widowControl w:val="off"/>
    </w:pPr>
  </w:style>
  <w:style w:type="character" w:styleId="1047" w:default="1">
    <w:name w:val="Default Paragraph Font"/>
    <w:uiPriority w:val="1"/>
    <w:semiHidden/>
    <w:unhideWhenUsed/>
  </w:style>
  <w:style w:type="numbering" w:styleId="1048" w:default="1">
    <w:name w:val="No List"/>
    <w:uiPriority w:val="99"/>
    <w:semiHidden/>
    <w:unhideWhenUsed/>
  </w:style>
  <w:style w:type="table" w:styleId="1049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ONLYOFFICE/6.3.1.32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Жураковська Альона Володимирівна</cp:lastModifiedBy>
  <cp:revision>1</cp:revision>
  <dcterms:modified xsi:type="dcterms:W3CDTF">2021-12-05T12:12:48Z</dcterms:modified>
</cp:coreProperties>
</file>