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99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МЕН</w:t>
      </w:r>
      <w:r>
        <w:rPr>
          <w:b/>
          <w:bCs/>
          <w:sz w:val="28"/>
          <w:szCs w:val="28"/>
        </w:rPr>
        <w:t xml:space="preserve">СЬКА МІСЬКА РАДА</w:t>
      </w:r>
      <w:r>
        <w:rPr>
          <w:sz w:val="28"/>
          <w:szCs w:val="28"/>
        </w:rPr>
      </w:r>
      <w:r/>
    </w:p>
    <w:p>
      <w:pPr>
        <w:pStyle w:val="59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КОРЮКІВСЬКОГО РАЙОНУ ЧЕРНІГІВСЬКОЇ ОБЛАСТІ</w:t>
      </w:r>
      <w:r>
        <w:rPr>
          <w:sz w:val="28"/>
          <w:szCs w:val="28"/>
        </w:rPr>
      </w:r>
      <w:r/>
    </w:p>
    <w:p>
      <w:pPr>
        <w:pStyle w:val="599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599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599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601"/>
        <w:spacing w:after="0" w:befor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599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599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599"/>
        <w:jc w:val="center"/>
        <w:keepNext/>
        <w:shd w:val="clear" w:fill="FFFFFF" w:color="auto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ЗАГАЛЬНООБ</w:t>
      </w:r>
      <w:r>
        <w:rPr>
          <w:sz w:val="28"/>
          <w:lang w:val="uk-UA"/>
        </w:rPr>
        <w:t xml:space="preserve">'</w:t>
      </w:r>
      <w:r>
        <w:rPr>
          <w:b/>
          <w:sz w:val="28"/>
          <w:lang w:val="uk-UA"/>
        </w:rPr>
        <w:t xml:space="preserve">ЄКТОВА </w:t>
      </w:r>
      <w:r>
        <w:rPr>
          <w:b/>
          <w:sz w:val="28"/>
        </w:rPr>
        <w:t xml:space="preserve">ІНСТРУКЦІЯ</w:t>
      </w:r>
      <w:r>
        <w:rPr>
          <w:b/>
          <w:sz w:val="28"/>
          <w:lang w:val="uk-UA"/>
        </w:rPr>
        <w:t xml:space="preserve"> № </w:t>
      </w:r>
      <w:r>
        <w:rPr>
          <w:b/>
          <w:sz w:val="28"/>
          <w:lang w:val="uk-UA"/>
        </w:rPr>
        <w:t xml:space="preserve">1</w:t>
      </w: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ПРО ЗАХОДИ ПОЖЕЖНОЇ БЕЗПЕКИ</w:t>
      </w:r>
      <w:r/>
    </w:p>
    <w:p>
      <w:pPr>
        <w:pStyle w:val="599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599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599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599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599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599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599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599"/>
        <w:jc w:val="center"/>
        <w:keepNext/>
        <w:rPr>
          <w:b/>
          <w:sz w:val="28"/>
        </w:rPr>
      </w:pPr>
      <w:r>
        <w:rPr>
          <w:b/>
          <w:sz w:val="28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b/>
          <w:sz w:val="28"/>
          <w:lang w:val="uk-UA"/>
        </w:rPr>
      </w:pPr>
      <w:r>
        <w:rPr>
          <w:b/>
          <w:sz w:val="28"/>
          <w:lang w:val="uk-UA"/>
        </w:rPr>
      </w:r>
      <w:r/>
    </w:p>
    <w:p>
      <w:pPr>
        <w:pStyle w:val="599"/>
        <w:jc w:val="center"/>
        <w:keepNext/>
        <w:rPr>
          <w:lang w:val="uk-UA"/>
        </w:rPr>
      </w:pPr>
      <w:r>
        <w:rPr>
          <w:lang w:val="uk-UA"/>
        </w:rPr>
        <w:t xml:space="preserve">м</w:t>
      </w:r>
      <w:r>
        <w:t xml:space="preserve">.</w:t>
      </w:r>
      <w:r>
        <w:rPr>
          <w:lang w:val="uk-UA"/>
        </w:rPr>
        <w:t xml:space="preserve"> </w:t>
      </w:r>
      <w:r>
        <w:rPr>
          <w:lang w:val="uk-UA"/>
        </w:rPr>
        <w:t xml:space="preserve">Мена</w:t>
      </w:r>
      <w:r>
        <w:rPr>
          <w:lang w:val="uk-UA"/>
        </w:rPr>
        <w:t xml:space="preserve"> </w:t>
      </w:r>
      <w:r/>
    </w:p>
    <w:p>
      <w:pPr>
        <w:pStyle w:val="600"/>
        <w:jc w:val="center"/>
        <w:spacing w:after="0" w:before="0"/>
        <w:rPr>
          <w:rFonts w:ascii="Times New Roman" w:hAnsi="Times New Roman"/>
          <w:caps/>
          <w:lang w:val="uk-UA"/>
        </w:rPr>
      </w:pPr>
      <w:r>
        <w:rPr>
          <w:rFonts w:ascii="Times New Roman" w:hAnsi="Times New Roman"/>
          <w:bCs w:val="false"/>
          <w:sz w:val="28"/>
          <w:lang w:val="uk-UA"/>
        </w:rPr>
        <w:br w:type="page"/>
      </w:r>
      <w:r>
        <w:rPr>
          <w:rFonts w:ascii="Times New Roman" w:hAnsi="Times New Roman"/>
          <w:bCs w:val="false"/>
          <w:sz w:val="28"/>
          <w:lang w:val="uk-UA"/>
        </w:rPr>
        <w:t xml:space="preserve">МЕН</w:t>
      </w:r>
      <w:r>
        <w:rPr>
          <w:rFonts w:ascii="Times New Roman" w:hAnsi="Times New Roman"/>
          <w:caps/>
          <w:lang w:val="uk-UA"/>
        </w:rPr>
        <w:t xml:space="preserve">СЬКА МІСЬКА РАДА</w:t>
      </w:r>
      <w:r/>
    </w:p>
    <w:p>
      <w:pPr>
        <w:pStyle w:val="600"/>
        <w:jc w:val="center"/>
        <w:spacing w:after="0" w:before="0"/>
        <w:rPr>
          <w:rFonts w:ascii="Times New Roman" w:hAnsi="Times New Roman"/>
          <w:caps/>
          <w:lang w:val="uk-UA"/>
        </w:rPr>
      </w:pPr>
      <w:r>
        <w:rPr>
          <w:rFonts w:ascii="Times New Roman" w:hAnsi="Times New Roman"/>
          <w:caps/>
          <w:lang w:val="uk-UA"/>
        </w:rPr>
        <w:t xml:space="preserve">КОРЮКІВСЬКОГО РАЙОНУ ЧЕРНІГІВСЬКОЇ ОБЛАСТІ</w:t>
      </w:r>
      <w:r>
        <w:rPr>
          <w:rFonts w:ascii="Times New Roman" w:hAnsi="Times New Roman"/>
          <w:caps/>
          <w:lang w:val="uk-UA"/>
        </w:rPr>
        <w:t xml:space="preserve"> </w:t>
      </w:r>
      <w:r/>
    </w:p>
    <w:p>
      <w:pPr>
        <w:pStyle w:val="600"/>
        <w:jc w:val="center"/>
        <w:spacing w:after="0" w:before="0"/>
        <w:rPr>
          <w:b w:val="false"/>
        </w:rPr>
      </w:pPr>
      <w:r>
        <w:rPr>
          <w:b w:val="false"/>
        </w:rPr>
      </w:r>
      <w:r/>
    </w:p>
    <w:p>
      <w:pPr>
        <w:pStyle w:val="599"/>
        <w:ind w:left="5040" w:right="101"/>
        <w:keepNext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ЗАТВЕРДЖЕНО</w:t>
      </w:r>
      <w:r/>
    </w:p>
    <w:p>
      <w:pPr>
        <w:pStyle w:val="599"/>
        <w:ind w:left="5040" w:right="57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Розпорядження міського голови </w:t>
      </w:r>
      <w:r>
        <w:rPr>
          <w:sz w:val="28"/>
          <w:szCs w:val="28"/>
          <w:lang w:val="uk-UA"/>
        </w:rPr>
      </w:r>
      <w:r/>
    </w:p>
    <w:p>
      <w:pPr>
        <w:pStyle w:val="599"/>
        <w:ind w:left="5040" w:right="57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29 листопада </w:t>
      </w:r>
      <w:r>
        <w:rPr>
          <w:sz w:val="28"/>
          <w:szCs w:val="28"/>
          <w:lang w:val="uk-UA"/>
        </w:rPr>
        <w:t xml:space="preserve">20</w:t>
      </w:r>
      <w:r>
        <w:rPr>
          <w:sz w:val="28"/>
          <w:szCs w:val="28"/>
          <w:lang w:val="uk-UA"/>
        </w:rPr>
        <w:t xml:space="preserve">21</w:t>
      </w:r>
      <w:r>
        <w:rPr>
          <w:sz w:val="28"/>
          <w:szCs w:val="28"/>
          <w:lang w:val="uk-UA"/>
        </w:rPr>
        <w:t xml:space="preserve"> р. </w:t>
      </w:r>
      <w:r>
        <w:rPr>
          <w:sz w:val="28"/>
          <w:szCs w:val="28"/>
          <w:lang w:val="uk-UA"/>
        </w:rPr>
        <w:t xml:space="preserve">436</w:t>
      </w:r>
      <w:r>
        <w:rPr>
          <w:sz w:val="28"/>
          <w:szCs w:val="28"/>
          <w:lang w:val="uk-UA"/>
        </w:rPr>
      </w:r>
      <w:r/>
    </w:p>
    <w:p>
      <w:pPr>
        <w:pStyle w:val="599"/>
        <w:ind w:right="101"/>
        <w:jc w:val="center"/>
        <w:keepNext/>
        <w:shd w:val="clear" w:fill="FFFFFF" w:color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607"/>
        <w:keepNext/>
        <w:spacing w:before="0"/>
        <w:rPr>
          <w:lang w:val="uk-UA"/>
        </w:rPr>
      </w:pPr>
      <w:r>
        <w:rPr>
          <w:lang w:val="uk-UA"/>
        </w:rPr>
        <w:t xml:space="preserve">ЗАГАЛЬНООБ'ЄКТОВА  ІНСТРУКЦІЯ  № </w:t>
      </w:r>
      <w:r>
        <w:rPr>
          <w:lang w:val="uk-UA"/>
        </w:rPr>
        <w:t xml:space="preserve">1</w:t>
      </w:r>
      <w:r>
        <w:rPr>
          <w:lang w:val="uk-UA"/>
        </w:rPr>
      </w:r>
      <w:r/>
    </w:p>
    <w:p>
      <w:pPr>
        <w:pStyle w:val="607"/>
        <w:keepNext/>
        <w:spacing w:before="0"/>
        <w:rPr>
          <w:lang w:val="uk-UA"/>
        </w:rPr>
      </w:pPr>
      <w:r>
        <w:rPr>
          <w:lang w:val="uk-UA"/>
        </w:rPr>
        <w:t xml:space="preserve">ПРО ЗАХОДИ ПОЖЕЖНОЇ БЕЗПЕКИ</w:t>
      </w:r>
      <w:r/>
    </w:p>
    <w:p>
      <w:pPr>
        <w:pStyle w:val="599"/>
        <w:ind w:left="360" w:right="400"/>
        <w:jc w:val="center"/>
        <w:keepNext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/>
    </w:p>
    <w:p>
      <w:pPr>
        <w:pStyle w:val="599"/>
        <w:ind w:left="360" w:right="400"/>
        <w:jc w:val="center"/>
        <w:keepNext/>
        <w:rPr>
          <w:b/>
          <w:caps/>
          <w:sz w:val="28"/>
          <w:szCs w:val="28"/>
          <w:lang w:val="uk-UA"/>
        </w:rPr>
      </w:pPr>
      <w:r>
        <w:rPr>
          <w:b/>
          <w:caps/>
          <w:sz w:val="28"/>
          <w:szCs w:val="28"/>
          <w:lang w:val="uk-UA"/>
        </w:rPr>
        <w:t xml:space="preserve">1. Галузь застосування</w:t>
      </w:r>
      <w:r/>
    </w:p>
    <w:p>
      <w:pPr>
        <w:pStyle w:val="599"/>
        <w:ind w:right="57" w:firstLine="709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Ця Інструкція поширюється на службові, складські, допоміжні та інші приміщення </w:t>
      </w:r>
      <w:r>
        <w:rPr>
          <w:sz w:val="28"/>
          <w:szCs w:val="28"/>
          <w:lang w:val="uk-UA"/>
        </w:rPr>
        <w:t xml:space="preserve">Менської</w:t>
      </w:r>
      <w:r>
        <w:rPr>
          <w:sz w:val="28"/>
          <w:szCs w:val="28"/>
          <w:lang w:val="uk-UA"/>
        </w:rPr>
        <w:t xml:space="preserve"> міської ради </w:t>
      </w:r>
      <w:r>
        <w:rPr>
          <w:sz w:val="28"/>
          <w:szCs w:val="28"/>
          <w:lang w:val="uk-UA"/>
        </w:rPr>
        <w:t xml:space="preserve">(надалі підприємство) і встановлює основні вимоги до забезпечення пожежної безпеки в них.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Інструкція є обов'язковою для вивчення та виконання всіма працівниками підприємства.</w:t>
      </w:r>
      <w:r/>
    </w:p>
    <w:p>
      <w:pPr>
        <w:pStyle w:val="599"/>
        <w:ind w:firstLine="26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jc w:val="center"/>
        <w:keepNext/>
        <w:rPr>
          <w:b/>
          <w:caps/>
          <w:sz w:val="28"/>
          <w:szCs w:val="28"/>
          <w:lang w:val="uk-UA"/>
        </w:rPr>
      </w:pPr>
      <w:r>
        <w:rPr>
          <w:b/>
          <w:caps/>
          <w:sz w:val="28"/>
          <w:szCs w:val="28"/>
          <w:lang w:val="uk-UA"/>
        </w:rPr>
        <w:t xml:space="preserve">2. Вимоги пожежної безпеки</w:t>
      </w:r>
      <w:r/>
    </w:p>
    <w:p>
      <w:pPr>
        <w:pStyle w:val="605"/>
        <w:jc w:val="both"/>
        <w:keepNext/>
        <w:spacing w:lineRule="auto" w:line="240" w:before="0"/>
        <w:widowControl/>
        <w:rPr>
          <w:rFonts w:ascii="Times New Roman" w:hAnsi="Times New Roman"/>
          <w:b/>
          <w:i w:val="false"/>
          <w:sz w:val="28"/>
          <w:szCs w:val="28"/>
        </w:rPr>
      </w:pPr>
      <w:r>
        <w:rPr>
          <w:rFonts w:ascii="Times New Roman" w:hAnsi="Times New Roman"/>
          <w:b/>
          <w:i w:val="false"/>
          <w:sz w:val="28"/>
          <w:szCs w:val="28"/>
        </w:rPr>
        <w:t xml:space="preserve">2.1. Вимоги пожежної безпеки до утримання території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всіх будівель і споруд підприємства має бути забезпечений вільний доступ. Протипожежні відстані між будинками, спорудами, відкритими майданчиками для зберігання матеріалів, устаткування тощ</w:t>
      </w:r>
      <w:r>
        <w:rPr>
          <w:sz w:val="28"/>
          <w:szCs w:val="28"/>
          <w:lang w:val="uk-UA"/>
        </w:rPr>
        <w:t xml:space="preserve">о повинні відповідати вимогам будівельних норм. Їх не дозволяється захаращувати, використовувати для складування матеріалів, стоянок транспорту. Все сміття та відходи необхідно регулярно видаляти (вивозити) у спеціально відведені місця. Проїзди і проходи д</w:t>
      </w:r>
      <w:r>
        <w:rPr>
          <w:sz w:val="28"/>
          <w:szCs w:val="28"/>
          <w:lang w:val="uk-UA"/>
        </w:rPr>
        <w:t xml:space="preserve">о будівель, споруд, пожежних вододжерел, підступи до зовнішніх стаціонарних пожежних драбин, пожежного інвентарю, обладнання та засобів пожежогасіння мають бути завжди вільними, утримуватись справними і перебувати в задовільному стані у будь-яку пору року.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Забороняється зменшувати нормативну ширину проїздів.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території підприємства на видних місцях мають бути встановлені таблички із зазначенням на них порядку виклику пожежної охорони, знаки із зазначенням місць розміщення первинних засобів пожежогасіння.</w:t>
      </w:r>
      <w:r/>
    </w:p>
    <w:p>
      <w:pPr>
        <w:pStyle w:val="605"/>
        <w:ind w:right="-5"/>
        <w:jc w:val="both"/>
        <w:keepNext/>
        <w:spacing w:lineRule="auto" w:line="240" w:before="0"/>
        <w:widowControl/>
        <w:rPr>
          <w:rFonts w:ascii="Times New Roman" w:hAnsi="Times New Roman"/>
          <w:b/>
          <w:i w:val="false"/>
          <w:sz w:val="28"/>
          <w:szCs w:val="28"/>
        </w:rPr>
      </w:pPr>
      <w:r>
        <w:rPr>
          <w:rFonts w:ascii="Times New Roman" w:hAnsi="Times New Roman"/>
          <w:b/>
          <w:i w:val="false"/>
          <w:sz w:val="28"/>
          <w:szCs w:val="28"/>
        </w:rPr>
        <w:t xml:space="preserve">2.2. Вимоги пожежної безпеки до утримання будинків, будівель, споруд, приміщень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всіх будинків, будівель, споруд тощо та приміщень виробничого, складського призначення й лабораторій підприємства необхідно визначати категорії вибухопожежної та пожежної небезпеки за ОНТП 24-86 та класи зон за Правилами будови електроустановок (ПБЕ).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вхідних дверях у вищезазначених приміщеннях необхідно вивішувати табличку з визначенням категорії вибухопожежної та пожежної небезпеки та класу зони.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Усі будинки, будівлі, споруди і приміщення підприємства повинні своєчасно очищатися від горючого сміття, відходів виробництва і постійно утримуватись у чистоті.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Розміщення у приміщеннях меблів та обладнання слід здійснювати таким чином, щоб забезпечувався вільний евакуаційний прохід до дверей виходу з приміщення. Навпроти дверного отвору має залишатися прохід шириною, яка дорівнює ширині дверей, але не менше 1 м.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наявності у приміщенні лише одного евакуаційного виходу дозволяється розміщувати в ньому не більше 50 осіб.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Евакуаційні шляхи (проходи, коридори, вестибюлі, сходові марші тощо) і виходи повинні постійно утримуватися вільними, нічим не захаращуватися.  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Забороняється влаштування комірчин чи інших допоміжних приміщень під сходовими маршами.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 допускається знімати з дверей пристрої для самозачинення, фіксуват</w:t>
      </w:r>
      <w:r>
        <w:rPr>
          <w:sz w:val="28"/>
          <w:szCs w:val="28"/>
          <w:lang w:val="uk-UA"/>
        </w:rPr>
        <w:t xml:space="preserve">и такі двері у відчиненому положенні, зберігати, у тому числі тимчасово, інвентар та різні матеріали у тамбурах виходів, у шафах (нішах) для інженерних комунікацій, зачиняти на замки та інші запори, що важко відчиняються зсередини, зовнішні евакуаційні две</w:t>
      </w:r>
      <w:r>
        <w:rPr>
          <w:sz w:val="28"/>
          <w:szCs w:val="28"/>
          <w:lang w:val="uk-UA"/>
        </w:rPr>
        <w:t xml:space="preserve">рі у разі знаходження в будинку людей.  У разі необхідності встановлення на вікнах приміщень, де перебувають люди, ґрат останні повинні розкриватися, розсуватися або зніматися. Під час перебування в цих приміщеннях людей ґрати мають бути відчинені (зняті).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Встановлювати глухі (незнімні) ґрати дозволяється в касах, складах, кімнатах для зберігання зброї та в інших приміщеннях, де це передбачено нормами і правилами, затвердженими в установленому порядку.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 час організації і проведення заходів з масовим перебуванням людей слід дотримуватись таких вимог: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при кіл</w:t>
      </w:r>
      <w:r>
        <w:rPr>
          <w:sz w:val="28"/>
          <w:szCs w:val="28"/>
          <w:lang w:val="uk-UA"/>
        </w:rPr>
        <w:t xml:space="preserve">ькості людей понад 50 осіб використовувати приміщення, забезпечені не менше ніж двома евакуаційними виходами, що відповідають вимогам будівельних норм, не мають на вікнах глухих ґрат і в будівлях з горючими перекриттями розташовані не вище другого поверху;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особи, яким доручено проведення таких заходів, перед їх поча</w:t>
      </w:r>
      <w:r>
        <w:rPr>
          <w:sz w:val="28"/>
          <w:szCs w:val="28"/>
          <w:lang w:val="uk-UA"/>
        </w:rPr>
        <w:t xml:space="preserve">тком зобов'язані ретельно оглянути приміщення і переконатись у повній готовності останніх у протипожежному відношенні, у т.ч. в забезпеченні потрібною кількістю первинних засобів пожежогасіння, справних засобів зв'язку, пожежної автоматики та сигналізації;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має бути організоване чергування членів добровільної пожежної дружини (ДПД) чи відповідальних чергових;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не дозволяється заповнення приміщень людьми понад установлену норму, звуження проходів між рядами, установка в проходах додаткових стільців тощо.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Пожежні крани, які є у приміщеннях і на території підприємства, повинні бути укомплектовані пожежними рукавами і стволами однаковог</w:t>
      </w:r>
      <w:r>
        <w:rPr>
          <w:sz w:val="28"/>
          <w:szCs w:val="28"/>
          <w:lang w:val="uk-UA"/>
        </w:rPr>
        <w:t xml:space="preserve">о з ними діаметра, а також важелями для полегшення відкривання вентилів, утримуватися справними і доступними для використання. Не рідше одного разу на шість місяців вони мають перевірятися на працездатність службою, яка здійснює їх технічне обслуговування.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Пожежні рукави необхідно утримувати сухими, складеними у "гармошку" або подвійну скатку, приєднаними до крана та ствола. </w:t>
      </w:r>
      <w:r/>
    </w:p>
    <w:p>
      <w:pPr>
        <w:pStyle w:val="599"/>
        <w:ind w:firstLine="720"/>
        <w:jc w:val="both"/>
        <w:keepNext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Використання пожежних рукавів для господарських та інших потреб, не пов'язаних а пожежогасінням, не допускається.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Пожежні шафи для розміщення кранів слід пломбувати і вони повинні мати отвори для провітрювання.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дверцятах пожежних шаф із зовнішнього боку необхідно після літерного індексу «ПК» вказати порядковий номер крана та номер телефону виклику пожежної охорони.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Влаштовуючи шафи, слід враховувати можливість розміщення в них двох вогнегасників.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Будинки, споруди та приміщення повинні бути забезпечені необхідною кількістю вогнегасників згідно з вимогами Правил п</w:t>
      </w:r>
      <w:r>
        <w:rPr>
          <w:sz w:val="28"/>
          <w:szCs w:val="28"/>
          <w:lang w:val="uk-UA"/>
        </w:rPr>
        <w:t xml:space="preserve">ожежної безпеки в Україні, їх слід установлювати в легкодоступних та помітних місцях (коридорах, біля входів або виходів з приміщень) таким чином, щоб вони не заважали під час евакуації і була забезпечена можливість читання маркувальних написів на корпусі.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Відстань від можливого осередку пожежі (найбільш віддаленого місця у приміщенні) до місця розташування вогнегасника не повинна перевищувати 20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м, кі</w:t>
      </w:r>
      <w:r>
        <w:rPr>
          <w:sz w:val="28"/>
          <w:szCs w:val="28"/>
          <w:lang w:val="uk-UA"/>
        </w:rPr>
        <w:t xml:space="preserve">лькість вогнегасників визначається згідно рекомендацій, що містяться у Правилах пожежної безпеки в Україні, але повинна бути не менше двох на поверх. Місця знаходження вогнегасників слід позначати вказівними знаками згідно з чинними державними стандартами.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Зарядження та перезарядження вогнегасників має виконуватися відповідно до інструкції з їх експлуатації. Перезарядженню підлягають також вогнегасники із зірваними пломбами.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Усі працівники підприємства повинні вміти користуватися вогнегасниками та внутрішніми пожежними кранами.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Горище, венткамери, електрощитові та інші технічні приміщення не повинні використовуватися не за призначенням (для зберігання меблів, устаткування, інших сторонніх предметів).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Двері горищ, підвальних приміщень, технічних поверхів, венткамер, електрощитових слід утримувати зачиненими. На дверях цих приміщень повинно бути вказане місце знаходження ключів.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Перевіряти стан вогнезахисної обробки не менше одного разу на рік зі складанням акта перевірки.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разі перепланування приміщень, зміни їх функціонального призначення необхідно дотримуватись протипожежних вимог чинних нормативних документів будівельного та технологічного проектування.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складських приміщеннях зберігання різних речовин та матеріалів має здійснюватися з урахування</w:t>
      </w:r>
      <w:r>
        <w:rPr>
          <w:sz w:val="28"/>
          <w:szCs w:val="28"/>
          <w:lang w:val="uk-UA"/>
        </w:rPr>
        <w:t xml:space="preserve">м їх пожежонебезпечних фізико-хімічних властивостей і сумісності. Спільне зберігання легкозаймистих та горючих рідин з іншими матеріалами (речовинами), зберігання кислот у місцях, де можливе їх стикання з речовинами органічного походження, не дозволяється.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складських приміщеннях матеріали необхідно зберігати на стелажах або укладати у штабелі, залишаючи між ними проходи шириною не менше 1 м. Відстань між стінами та штабелями повинна бути не менше 0,8 м.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Зберігання матеріалів навалом та впритул до приладів і труб опалення не дозволяється.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підвальних приміщеннях не дозволяється зберігати і використовувати легкозаймисті та горючі рідини (далі - ЛЗР та ГР), балони з газами, карбід кальцію та інші речовини і матеріали, що мають підвищену вибухопожежонебезпечність.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Приміщення, де використовуються персональні комп'ютери, слід оснащувати переносним</w:t>
      </w:r>
      <w:r>
        <w:rPr>
          <w:sz w:val="28"/>
          <w:szCs w:val="28"/>
          <w:lang w:val="uk-UA"/>
        </w:rPr>
        <w:t xml:space="preserve">и вуглекислотними або порошковими вогнегасниками ємністю 3 літри з розрахунку: один вогнегасник на кожні 20 метрів квадратних площі підлоги захищаємого приміщення. Персональні комп'ютери після закінчення роботи на них повинні відключатися від електромереж.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Спецодяг працюючих з лаками, фарбами та іншими ЛЗР і ГР повинен своєчасно підлягати пранню і ремонту, зберігатися в розвішеному вигляді в металевих шафах, встановлених у спеціально відведених для цієї мети приміщеннях.</w:t>
      </w:r>
      <w:r/>
    </w:p>
    <w:p>
      <w:pPr>
        <w:pStyle w:val="605"/>
        <w:ind w:right="-5"/>
        <w:jc w:val="both"/>
        <w:keepNext/>
        <w:spacing w:lineRule="auto" w:line="240" w:before="0"/>
        <w:widowControl/>
        <w:rPr>
          <w:rFonts w:ascii="Times New Roman" w:hAnsi="Times New Roman"/>
          <w:b/>
          <w:i w:val="false"/>
          <w:sz w:val="28"/>
          <w:szCs w:val="28"/>
        </w:rPr>
      </w:pPr>
      <w:r>
        <w:rPr>
          <w:rFonts w:ascii="Times New Roman" w:hAnsi="Times New Roman"/>
          <w:b/>
          <w:i w:val="false"/>
          <w:sz w:val="28"/>
          <w:szCs w:val="28"/>
        </w:rPr>
        <w:t xml:space="preserve">2.3. Заходи пожежної безпеки під час застосування відкритого вогню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Розводити багаття, користуватися вогнем на території підприємства забороняється.</w:t>
      </w:r>
      <w:r/>
    </w:p>
    <w:p>
      <w:pPr>
        <w:pStyle w:val="599"/>
        <w:ind w:firstLine="720"/>
        <w:jc w:val="both"/>
        <w:keepNext/>
      </w:pPr>
      <w:r>
        <w:rPr>
          <w:sz w:val="28"/>
          <w:szCs w:val="28"/>
          <w:lang w:val="uk-UA"/>
        </w:rPr>
        <w:t xml:space="preserve">Електрозварювальні та інші роботи, пов'язані з застосуванням відкритого вогню, допускаються тільки з письмового дозволу керівника (власника) або особи, яка виконує його обов'язки.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Дозвіл на проведення вогневих робіт повинен оформлюватися напередодні провед</w:t>
      </w:r>
      <w:r>
        <w:rPr>
          <w:sz w:val="28"/>
          <w:szCs w:val="28"/>
          <w:lang w:val="uk-UA"/>
        </w:rPr>
        <w:t xml:space="preserve">ення цих робіт. До проведення вогневих робіт допускаються тільки кваліфіковані працівники, які мають при собі посвідчення газоелектрозварника і посвідчення про проходження пожежно-технічного мінімуму. Проведення вогневих робіт дозволяється тільки після вик</w:t>
      </w:r>
      <w:r>
        <w:rPr>
          <w:sz w:val="28"/>
          <w:szCs w:val="28"/>
          <w:lang w:val="uk-UA"/>
        </w:rPr>
        <w:t xml:space="preserve">онання заходів щодо забезпечення пожежної безпеки при справному газоелектрозварювальному обладнанні. Виконання вогневих робіт повинно негайно припинятися на вимогу особи, відповідальної за безпечне проведення робіт, та органів державного пожежного нагляду.</w:t>
      </w:r>
      <w:r/>
    </w:p>
    <w:p>
      <w:pPr>
        <w:pStyle w:val="605"/>
        <w:ind w:left="320" w:hanging="20"/>
        <w:jc w:val="center"/>
        <w:keepNext/>
        <w:spacing w:lineRule="auto" w:line="240" w:before="0"/>
        <w:widowControl/>
        <w:rPr>
          <w:rFonts w:ascii="Times New Roman" w:hAnsi="Times New Roman"/>
          <w:b/>
          <w:i w:val="false"/>
          <w:sz w:val="28"/>
          <w:szCs w:val="28"/>
        </w:rPr>
      </w:pPr>
      <w:r>
        <w:rPr>
          <w:rFonts w:ascii="Times New Roman" w:hAnsi="Times New Roman"/>
          <w:b/>
          <w:i w:val="false"/>
          <w:sz w:val="28"/>
          <w:szCs w:val="28"/>
        </w:rPr>
        <w:t xml:space="preserve">2.4. Правила утримання технічних засобів протипожежного захисту</w:t>
      </w:r>
      <w:r/>
    </w:p>
    <w:p>
      <w:pPr>
        <w:pStyle w:val="599"/>
        <w:ind w:left="40"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Будівлі та приміщення повинні оснащуватися установками пожежної сигналізації (УПС) та автоматичними установками пожежогасіння (АУП) відповідно до вимог чинних нормативних документів.</w:t>
      </w:r>
      <w:r/>
    </w:p>
    <w:p>
      <w:pPr>
        <w:pStyle w:val="599"/>
        <w:ind w:left="40"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Усі установки мають бути справними, утримуватися в працездатному стані і мати сертифікати відповідності.</w:t>
      </w:r>
      <w:r/>
    </w:p>
    <w:p>
      <w:pPr>
        <w:pStyle w:val="599"/>
        <w:ind w:left="40"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утримання в працездатному стані УПС та АУП необхідно забезпечувати такі заходи:</w:t>
      </w:r>
      <w:r/>
    </w:p>
    <w:p>
      <w:pPr>
        <w:pStyle w:val="599"/>
        <w:ind w:left="40"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технічне обслуговування з метою збереження показників безвідмовної роботи на період терміну служби;</w:t>
      </w:r>
      <w:r/>
    </w:p>
    <w:p>
      <w:pPr>
        <w:pStyle w:val="599"/>
        <w:ind w:left="40"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матеріально-технічне (ресурсне) забезпечення з метою безвідмовного виконання функціонального призначення в усіх режимах експлуатації, підтримання і своєчасне відновлення працездатності;</w:t>
      </w:r>
      <w:r/>
    </w:p>
    <w:p>
      <w:pPr>
        <w:pStyle w:val="599"/>
        <w:ind w:left="40"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опрацювання необхідної експлуатаційної документації для обслуговуючого й чергового персоналу.</w:t>
      </w:r>
      <w:r/>
    </w:p>
    <w:p>
      <w:pPr>
        <w:pStyle w:val="599"/>
        <w:ind w:left="40"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Організації, які здійснюють технічне обслуговування, монтаж та налагодження установок, повинні мати ліцензію на право виконання цих робіт.</w:t>
      </w:r>
      <w:r/>
    </w:p>
    <w:p>
      <w:pPr>
        <w:pStyle w:val="605"/>
        <w:ind w:left="320" w:right="0" w:hanging="20"/>
        <w:jc w:val="both"/>
        <w:keepNext/>
        <w:spacing w:lineRule="auto" w:line="240" w:before="0"/>
        <w:widowControl/>
        <w:rPr>
          <w:rFonts w:ascii="Times New Roman" w:hAnsi="Times New Roman"/>
          <w:i w:val="false"/>
          <w:sz w:val="28"/>
          <w:szCs w:val="28"/>
        </w:rPr>
      </w:pPr>
      <w:r>
        <w:rPr>
          <w:rFonts w:ascii="Times New Roman" w:hAnsi="Times New Roman"/>
          <w:i w:val="false"/>
          <w:sz w:val="28"/>
          <w:szCs w:val="28"/>
        </w:rPr>
        <w:t xml:space="preserve">Будинки і приміщення повинні бути обладнані системами протидимного захисту</w:t>
      </w:r>
      <w:r/>
    </w:p>
    <w:p>
      <w:pPr>
        <w:pStyle w:val="605"/>
        <w:ind w:left="320" w:right="0" w:hanging="20"/>
        <w:jc w:val="both"/>
        <w:keepNext/>
        <w:spacing w:lineRule="auto" w:line="240" w:before="0"/>
        <w:widowControl/>
        <w:rPr>
          <w:rFonts w:ascii="Times New Roman" w:hAnsi="Times New Roman"/>
          <w:b/>
          <w:i w:val="false"/>
          <w:sz w:val="28"/>
          <w:szCs w:val="28"/>
        </w:rPr>
      </w:pPr>
      <w:r>
        <w:rPr>
          <w:rFonts w:ascii="Times New Roman" w:hAnsi="Times New Roman"/>
          <w:i w:val="false"/>
          <w:sz w:val="28"/>
          <w:szCs w:val="28"/>
        </w:rPr>
        <w:t xml:space="preserve"> </w:t>
      </w:r>
      <w:r>
        <w:rPr>
          <w:rFonts w:ascii="Times New Roman" w:hAnsi="Times New Roman"/>
          <w:b/>
          <w:i w:val="false"/>
          <w:sz w:val="28"/>
          <w:szCs w:val="28"/>
        </w:rPr>
        <w:t xml:space="preserve">2.5. Утримання інженерного обладнання</w:t>
      </w:r>
      <w:r/>
    </w:p>
    <w:p>
      <w:pPr>
        <w:pStyle w:val="599"/>
        <w:ind w:left="40"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технічними засобами оповіщення про пожежу та засобами зв'язку відповідно до вимог будівельних норм.</w:t>
      </w:r>
      <w:r/>
    </w:p>
    <w:p>
      <w:pPr>
        <w:pStyle w:val="599"/>
        <w:ind w:left="40"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Мережі протипожежного водогону повинні забезпечувати потрібні за нормами витрати та напір води.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Силове і освітлювальне електроустаткування, електропроводка та інші споживачі електроенергії повинні виконуватися та експлуатуватися відповідно до ПУЕ, ПБЕ і  Правил технічної експлуатації електроустановок (ПТЕЕ);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Еле</w:t>
      </w:r>
      <w:r>
        <w:rPr>
          <w:sz w:val="28"/>
          <w:szCs w:val="28"/>
          <w:lang w:val="uk-UA"/>
        </w:rPr>
        <w:t xml:space="preserve">ктропроводка, розподільні пристрої, апаратура, електрообладнання, вимірювальні прилади, а також запобіжні пристрої різного типу, рубильники та інші пускові апарати і пристрої повинні монтуватися на негорючих основах (текстоліт, гетинакс та інші матеріали).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загального відключення силових та освітлювальних мереж складських приміщень, архівів та інших подібних приміщень необхідно передбачити встановлення апаратів відключення ззовні вказаних приміщень на негорючих стінах.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Розподільні електрощити, електродвигуни і пускорегулювальні апарати повинні періодично оглядатися і очищатися від пилу. Приєднання нових споживачів електричної енергії (електродвигун</w:t>
      </w:r>
      <w:r>
        <w:rPr>
          <w:sz w:val="28"/>
          <w:szCs w:val="28"/>
          <w:lang w:val="uk-UA"/>
        </w:rPr>
        <w:t xml:space="preserve">ів та іншого електрообладнання) повинно проводитися з відома особи, відповідальної за експлуатацію електрогосподарства. Зіпсовані електроапарати та прилади, які можуть викликати коротке замикання, повинні бути терміново відремонтовані або замінені на інші.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Плавкі вставки запобіжників мають бути калібровані із зазначенням номінального струму вставки (клеймо заводу-виготовлювача або електричної лабораторії). Застосування саморобних некаліброваних плавких вставок забороняється.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Електроустаткування і електроапаратуру ущільненого, захисного виконання потрібно систематично перевіряти на герметичність, звертаючи на це особливу увагу, а також на стан ущільнювальних прокладок.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Настільні лампи, вентилятори, телевізори, радіоприймачі, холодильники та інші електроприлади повинні вмикатися в мережу тільки через справні штепсельні розетки і електрошнури.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Експлуатація тимчасових електромереж не дозволяється.</w:t>
      </w:r>
      <w:r/>
    </w:p>
    <w:p>
      <w:pPr>
        <w:pStyle w:val="608"/>
        <w:ind w:firstLine="900"/>
        <w:keepNext/>
        <w:spacing w:lineRule="auto" w:line="240"/>
      </w:pPr>
      <w:r>
        <w:t xml:space="preserve">Заміри опору ізоляції в силових і освітлювальних мережах необхідно проводити не рідше одного разу на два роки.</w:t>
      </w:r>
      <w:r/>
    </w:p>
    <w:p>
      <w:pPr>
        <w:pStyle w:val="599"/>
        <w:ind w:firstLine="900"/>
        <w:jc w:val="both"/>
        <w:keepNext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Забороняється встановлення електропобутових приладів (телевізорів, холодильників тощо) в нішах меблів.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 час вечірньої перевірки службових приміщень і робочих кабінетів черговий електромонтер зобов'язаний знеструмити електрообладнання, електроапаратуру та інші електричні прилади, перебування яких у нічний час під напругою необов'язкове.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Обігрівання приміщень повинно здійснюватись тільки приладами центрального водяного опалення.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Приміщення вентиляційних установок повинні завжди утримуватися в чистоті. У разі виникнення пожежі треба негайно вимкнути вентиляційну систему за відсутності її аварійного вимкнення.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Вентиляційні камери, шахти і повітроводи повинні очищатися від горючих предметів та пилу не рідше ніж 2 рази на рік та після капітального ремонту. Зберігання горючих матеріалів у вентиляційних камерах та пристосування їх для інших потреб забороняється.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 час експлуатації побутових кондиціонерів забороняється: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у разі встановлення кондиціонера у віконному отворі використовувати як опорні конструкції горючі елементи конструкцій рам;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кустарно переробляти кондиціонери;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замінювати триполюсні штепсельні роз'єднувачі на двополюсні;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встановлювати кондиціонери у внутрішніх протипожежних перегородках та стінах.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Ліфти та підйомники не допускається використовувати з метою евакуації.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разі пожежі ліфти й підйомники повинні опускатися на перший поверх автоматично, відчинятися й відключатися.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Відпрацьовані ЛЗР та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ГР, стоки речовин, що у взаємодії з водою виділяють вибухопожежонебезпечні гази (карбід кальцію та інші), зливати до каналізаційної мережі не допускається. .</w:t>
      </w:r>
      <w:r/>
    </w:p>
    <w:p>
      <w:pPr>
        <w:pStyle w:val="606"/>
        <w:keepNext/>
        <w:rPr>
          <w:b/>
        </w:rPr>
      </w:pPr>
      <w:r>
        <w:rPr>
          <w:b/>
        </w:rPr>
        <w:t xml:space="preserve">2.6. Порядок огляду, приведення в пожежобезпечний стан і закриття приміщень, корпусів, будівель тощо після закінчення роботи</w:t>
      </w:r>
      <w:r/>
    </w:p>
    <w:p>
      <w:pPr>
        <w:pStyle w:val="599"/>
        <w:ind w:left="40" w:firstLine="86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Після закінчення робочого дня працівники по</w:t>
      </w:r>
      <w:r>
        <w:rPr>
          <w:sz w:val="28"/>
          <w:szCs w:val="28"/>
          <w:lang w:val="uk-UA"/>
        </w:rPr>
        <w:t xml:space="preserve">винні навести порядок на робочому місці, зачинити вікна та вимкнути електроживлення приладів і обладнання, яким вони користувалися (настільні лампи, друкарські та лічильні машинки, вентилятори, побутові кондиціонери, комп'ютери, радіоприймачі і таке інше).</w:t>
      </w:r>
      <w:r/>
    </w:p>
    <w:p>
      <w:pPr>
        <w:pStyle w:val="599"/>
        <w:ind w:left="40" w:firstLine="86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Відповідальний за пожежну безпеку у приміщенні після закінчення роботи повинен оглянути його, переконатися у відсутності порушень, що можуть привести до пожежі, перевірити відключення електроприладів, обладнання, освітлення.</w:t>
      </w:r>
      <w:r/>
    </w:p>
    <w:p>
      <w:pPr>
        <w:pStyle w:val="599"/>
        <w:ind w:left="40" w:firstLine="26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jc w:val="center"/>
        <w:keepNext/>
        <w:rPr>
          <w:b/>
          <w:caps/>
          <w:sz w:val="28"/>
          <w:szCs w:val="28"/>
          <w:lang w:val="uk-UA"/>
        </w:rPr>
      </w:pPr>
      <w:r>
        <w:rPr>
          <w:b/>
          <w:caps/>
          <w:sz w:val="28"/>
          <w:szCs w:val="28"/>
          <w:lang w:val="uk-UA"/>
        </w:rPr>
        <w:t xml:space="preserve">3. Обов'язки та дії працівників у разі пожежі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разі виявлення ознак пожежі на підприємства працівник, який їх помітив, повинен: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негайно повідомити про це державну </w:t>
      </w:r>
      <w:r>
        <w:rPr>
          <w:sz w:val="28"/>
          <w:szCs w:val="28"/>
        </w:rPr>
        <w:t xml:space="preserve">пожежно-рятувальну службу по телефону 101</w:t>
      </w:r>
      <w:r>
        <w:rPr>
          <w:sz w:val="28"/>
          <w:szCs w:val="28"/>
          <w:lang w:val="uk-UA"/>
        </w:rPr>
        <w:t xml:space="preserve">, вказати при цьому адресу, кількість поверхів, місце виникнення пожежі, наявність людей, а також своє прізвище;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повідомити про пожежу керівника (власника);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вжити заходів щодо евакуації людей та матеріальних цінностей, гасіння пожежі з використанням наявних вогнегасників та інших засобів пожежогасіння.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Керівник (власник) , якому повідомлено про виникнення пожежі, повинен:</w:t>
      </w:r>
      <w:r/>
    </w:p>
    <w:p>
      <w:pPr>
        <w:pStyle w:val="599"/>
        <w:numPr>
          <w:ilvl w:val="0"/>
          <w:numId w:val="1"/>
        </w:numPr>
        <w:ind w:left="0"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перевірити, чи викликано державну пожежну охорону;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  перевірити здійснення оповіщення людей про пожежу;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вимкнути у разі необхідності струмоприймачі та вентиляцію;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у разі загрози життю людей негайно організувати їх рятування (евакуацію), вивести за межі небезпечної зони всіх працівників, які не беруть участь у ліквідації пожежі;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забезпечити дотримання техніки безпеки працівниками, які беруть участь у гасінні пожежі;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організувати зустріч підрозділів державної пожежної охорони, надати їм допомогу у її локалізації та ліквідації.</w:t>
      </w:r>
      <w:r/>
    </w:p>
    <w:p>
      <w:pPr>
        <w:pStyle w:val="599"/>
        <w:ind w:firstLine="90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Після прибуття на пожежу пожежних підрозділів повинен бути забезпечений безперешкодний доступ їх до місця, де виникла пожежа.</w:t>
      </w:r>
      <w:r/>
    </w:p>
    <w:p>
      <w:pPr>
        <w:pStyle w:val="61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  <w:lang w:val="uk-UA"/>
        </w:rPr>
        <w:t xml:space="preserve"> У разі нещасних випадків (забиття, падіння, електротравми),а також у випадках раптового захворювання подати потерпілому першу (долікарську) допомогу, повідомити керівника робіт про те, що трапилося, викликати швидку допомогу за телефоном «103».</w:t>
      </w:r>
      <w:r/>
    </w:p>
    <w:p>
      <w:pPr>
        <w:pStyle w:val="61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 xml:space="preserve"> Послідовність подання першої допомоги:</w:t>
      </w:r>
      <w:r/>
    </w:p>
    <w:p>
      <w:pPr>
        <w:pStyle w:val="610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усунути дію на організм шкідливих факторів, які загрожують здоров'ю і життю потерпілого (звільнити від дії електричного струму, винести із зараженої території, загасити одяг, що горить тощо);</w:t>
      </w:r>
      <w:r/>
    </w:p>
    <w:p>
      <w:pPr>
        <w:pStyle w:val="610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визначити характер і важкість травми, найбільшу загрозу для життя потерпілого і послідовність заходів щодо його рятування;</w:t>
      </w:r>
      <w:r/>
    </w:p>
    <w:p>
      <w:pPr>
        <w:pStyle w:val="610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вжити потрібних заходів щодо рятування потерпілого в порядку терміновості (відновити прохідність дихальних шляхів, провести штучне дихання, зовнішній масаж серця, зупинити кровотечу, зафіксувати місце перелому, накласти пов'язку та ін.);</w:t>
      </w:r>
      <w:r/>
    </w:p>
    <w:p>
      <w:pPr>
        <w:pStyle w:val="610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підтримувати основні життєві функції потерпілого до прибуття медичного працівника або вжити заходів щодо транспортування потерпілого в найближчий медичний заклад.</w:t>
      </w:r>
      <w:r/>
    </w:p>
    <w:p>
      <w:pPr>
        <w:pStyle w:val="610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Допомога потерпілому, подана не медичним працівником, не повинна заміняти допомогу з боку медичного персоналу і повинна подаватися лише до прибуття лікаря.</w:t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Конкретні дії щодо</w:t>
      </w:r>
      <w:r>
        <w:rPr>
          <w:sz w:val="28"/>
          <w:szCs w:val="28"/>
          <w:lang w:val="uk-UA"/>
        </w:rPr>
        <w:t xml:space="preserve"> подання медичної допомоги потерпілому під час різних уражень описані в Інструкції по наданню першої невідкладної допомоги на місці виникнення нещасного випадку, яка вивчається під час проходження первинного і подальших інструктажів з питань охорони праці.</w:t>
      </w:r>
      <w:r/>
    </w:p>
    <w:p>
      <w:pPr>
        <w:pStyle w:val="599"/>
        <w:jc w:val="both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 xml:space="preserve"> Виконувати всі вказівки керівника робіт по ліквідації небезпеки.</w:t>
      </w:r>
      <w:r/>
    </w:p>
    <w:p>
      <w:pPr>
        <w:pStyle w:val="599"/>
        <w:jc w:val="both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jc w:val="both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rPr>
          <w:sz w:val="28"/>
          <w:szCs w:val="28"/>
        </w:rPr>
      </w:pPr>
      <w:r>
        <w:rPr>
          <w:sz w:val="28"/>
          <w:szCs w:val="28"/>
        </w:rPr>
        <w:t xml:space="preserve">Виконуючий функції служби охорони праці</w:t>
        <w:tab/>
        <w:tab/>
        <w:tab/>
        <w:tab/>
        <w:t xml:space="preserve"> </w:t>
      </w:r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206030504050203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jc w:val="center"/>
    </w:pPr>
    <w:fldSimple w:instr="PAGE \* MERGEFORMAT">
      <w:r>
        <w:t xml:space="preserve">1</w:t>
      </w:r>
    </w:fldSimple>
    <w:r/>
    <w:r/>
  </w:p>
  <w:p>
    <w:pPr>
      <w:pStyle w:val="40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599"/>
        <w:ind w:left="640" w:hanging="360"/>
        <w:tabs>
          <w:tab w:val="num" w:pos="64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pStyle w:val="599"/>
        <w:ind w:left="1360" w:hanging="360"/>
        <w:tabs>
          <w:tab w:val="num" w:pos="136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599"/>
        <w:ind w:left="2080" w:hanging="360"/>
        <w:tabs>
          <w:tab w:val="num" w:pos="208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599"/>
        <w:ind w:left="2800" w:hanging="360"/>
        <w:tabs>
          <w:tab w:val="num" w:pos="28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599"/>
        <w:ind w:left="3520" w:hanging="360"/>
        <w:tabs>
          <w:tab w:val="num" w:pos="352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599"/>
        <w:ind w:left="4240" w:hanging="360"/>
        <w:tabs>
          <w:tab w:val="num" w:pos="42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599"/>
        <w:ind w:left="4960" w:hanging="360"/>
        <w:tabs>
          <w:tab w:val="num" w:pos="49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599"/>
        <w:ind w:left="5680" w:hanging="360"/>
        <w:tabs>
          <w:tab w:val="num" w:pos="568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599"/>
        <w:ind w:left="6400" w:hanging="360"/>
        <w:tabs>
          <w:tab w:val="num" w:pos="6400" w:leader="none"/>
        </w:tabs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9"/>
    <w:link w:val="609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599">
    <w:name w:val="Обычный"/>
    <w:next w:val="599"/>
    <w:link w:val="599"/>
    <w:rPr>
      <w:sz w:val="24"/>
      <w:szCs w:val="24"/>
      <w:lang w:val="ru-RU" w:bidi="ar-SA" w:eastAsia="ru-RU"/>
    </w:rPr>
  </w:style>
  <w:style w:type="paragraph" w:styleId="600">
    <w:name w:val="Заголовок 1"/>
    <w:basedOn w:val="599"/>
    <w:next w:val="599"/>
    <w:link w:val="599"/>
    <w:rPr>
      <w:rFonts w:ascii="Cambria" w:hAnsi="Cambria" w:eastAsia="Times New Roman"/>
      <w:b/>
      <w:bCs/>
      <w:sz w:val="32"/>
      <w:szCs w:val="32"/>
    </w:rPr>
    <w:pPr>
      <w:keepNext/>
      <w:spacing w:after="60" w:before="240"/>
      <w:outlineLvl w:val="0"/>
    </w:pPr>
  </w:style>
  <w:style w:type="paragraph" w:styleId="601">
    <w:name w:val="Заголовок 3"/>
    <w:basedOn w:val="599"/>
    <w:next w:val="599"/>
    <w:link w:val="599"/>
    <w:rPr>
      <w:rFonts w:ascii="Arial" w:hAnsi="Arial"/>
      <w:b/>
      <w:bCs/>
      <w:sz w:val="26"/>
      <w:szCs w:val="26"/>
    </w:rPr>
    <w:pPr>
      <w:keepNext/>
      <w:spacing w:after="60" w:before="240"/>
      <w:outlineLvl w:val="2"/>
    </w:pPr>
  </w:style>
  <w:style w:type="character" w:styleId="602">
    <w:name w:val="Основной шрифт абзаца"/>
    <w:next w:val="602"/>
    <w:link w:val="599"/>
    <w:semiHidden/>
  </w:style>
  <w:style w:type="table" w:styleId="603">
    <w:name w:val="Обычная таблица"/>
    <w:next w:val="603"/>
    <w:link w:val="599"/>
    <w:semiHidden/>
    <w:tblPr/>
  </w:style>
  <w:style w:type="numbering" w:styleId="604">
    <w:name w:val="Нет списка"/>
    <w:next w:val="604"/>
    <w:link w:val="599"/>
    <w:semiHidden/>
  </w:style>
  <w:style w:type="paragraph" w:styleId="605">
    <w:name w:val="FR1"/>
    <w:next w:val="605"/>
    <w:link w:val="599"/>
    <w:rPr>
      <w:rFonts w:ascii="Arial" w:hAnsi="Arial"/>
      <w:i/>
      <w:iCs/>
      <w:sz w:val="18"/>
      <w:szCs w:val="18"/>
      <w:lang w:val="uk-UA" w:bidi="ar-SA" w:eastAsia="ru-RU"/>
    </w:rPr>
    <w:pPr>
      <w:ind w:left="240" w:right="400"/>
      <w:spacing w:lineRule="auto" w:line="260" w:before="140"/>
      <w:widowControl w:val="off"/>
    </w:pPr>
  </w:style>
  <w:style w:type="paragraph" w:styleId="606">
    <w:name w:val="Основной текст с отступом 2"/>
    <w:basedOn w:val="599"/>
    <w:next w:val="606"/>
    <w:link w:val="599"/>
    <w:semiHidden/>
    <w:rPr>
      <w:sz w:val="28"/>
      <w:szCs w:val="28"/>
      <w:lang w:val="uk-UA"/>
    </w:rPr>
    <w:pPr>
      <w:ind w:left="40"/>
      <w:jc w:val="both"/>
    </w:pPr>
  </w:style>
  <w:style w:type="paragraph" w:styleId="607">
    <w:name w:val="Цитата"/>
    <w:basedOn w:val="599"/>
    <w:next w:val="607"/>
    <w:link w:val="599"/>
    <w:semiHidden/>
    <w:rPr>
      <w:b/>
      <w:bCs/>
      <w:sz w:val="28"/>
      <w:szCs w:val="28"/>
    </w:rPr>
    <w:pPr>
      <w:ind w:left="360" w:right="400"/>
      <w:jc w:val="center"/>
      <w:spacing w:before="340"/>
    </w:pPr>
  </w:style>
  <w:style w:type="paragraph" w:styleId="608">
    <w:name w:val="Основной текст с отступом"/>
    <w:basedOn w:val="599"/>
    <w:next w:val="608"/>
    <w:link w:val="599"/>
    <w:semiHidden/>
    <w:rPr>
      <w:sz w:val="28"/>
      <w:szCs w:val="28"/>
      <w:lang w:val="uk-UA"/>
    </w:rPr>
    <w:pPr>
      <w:ind w:firstLine="260"/>
      <w:jc w:val="both"/>
      <w:spacing w:lineRule="auto" w:line="420"/>
    </w:pPr>
  </w:style>
  <w:style w:type="paragraph" w:styleId="609">
    <w:name w:val="Heading 2"/>
    <w:basedOn w:val="599"/>
    <w:next w:val="599"/>
    <w:link w:val="599"/>
    <w:rPr>
      <w:rFonts w:ascii="Arial" w:hAnsi="Arial"/>
      <w:b/>
      <w:sz w:val="20"/>
      <w:szCs w:val="20"/>
    </w:rPr>
    <w:pPr>
      <w:jc w:val="center"/>
      <w:keepNext/>
      <w:outlineLvl w:val="1"/>
    </w:pPr>
  </w:style>
  <w:style w:type="paragraph" w:styleId="610">
    <w:name w:val="Обычный (веб)"/>
    <w:basedOn w:val="599"/>
    <w:next w:val="610"/>
    <w:link w:val="599"/>
    <w:rPr>
      <w:rFonts w:ascii="Verdana" w:hAnsi="Verdana"/>
      <w:sz w:val="20"/>
      <w:szCs w:val="20"/>
    </w:rPr>
    <w:pPr>
      <w:jc w:val="both"/>
      <w:spacing w:before="240"/>
    </w:pPr>
  </w:style>
  <w:style w:type="character" w:styleId="611">
    <w:name w:val=" Знак Знак"/>
    <w:next w:val="611"/>
    <w:link w:val="599"/>
    <w:rPr>
      <w:rFonts w:ascii="Cambria" w:hAnsi="Cambria" w:eastAsia="Times New Roman"/>
      <w:b/>
      <w:bCs/>
      <w:sz w:val="32"/>
      <w:szCs w:val="32"/>
    </w:rPr>
  </w:style>
  <w:style w:type="paragraph" w:styleId="612">
    <w:name w:val="Текст выноски"/>
    <w:basedOn w:val="599"/>
    <w:next w:val="612"/>
    <w:link w:val="599"/>
    <w:semiHidden/>
    <w:rPr>
      <w:rFonts w:ascii="Tahoma" w:hAnsi="Tahoma"/>
      <w:sz w:val="16"/>
      <w:szCs w:val="16"/>
    </w:rPr>
  </w:style>
  <w:style w:type="paragraph" w:styleId="613">
    <w:name w:val="Основной текст с отступом 3"/>
    <w:basedOn w:val="599"/>
    <w:next w:val="613"/>
    <w:link w:val="599"/>
    <w:semiHidden/>
    <w:rPr>
      <w:sz w:val="28"/>
      <w:lang w:val="uk-UA"/>
    </w:rPr>
    <w:pPr>
      <w:ind w:firstLine="900"/>
      <w:jc w:val="both"/>
      <w:keepNext/>
    </w:pPr>
  </w:style>
  <w:style w:type="character" w:styleId="1310" w:default="1">
    <w:name w:val="Default Paragraph Font"/>
    <w:uiPriority w:val="1"/>
    <w:semiHidden/>
    <w:unhideWhenUsed/>
  </w:style>
  <w:style w:type="numbering" w:styleId="1311" w:default="1">
    <w:name w:val="No List"/>
    <w:uiPriority w:val="99"/>
    <w:semiHidden/>
    <w:unhideWhenUsed/>
  </w:style>
  <w:style w:type="paragraph" w:styleId="1312" w:default="1">
    <w:name w:val="Normal"/>
    <w:qFormat/>
  </w:style>
  <w:style w:type="table" w:styleId="131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1</cp:revision>
  <dcterms:modified xsi:type="dcterms:W3CDTF">2021-12-05T12:04:22Z</dcterms:modified>
</cp:coreProperties>
</file>