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597"/>
        <w:jc w:val="center"/>
        <w:rPr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 xml:space="preserve">МЕНСЬКА</w:t>
      </w:r>
      <w:r>
        <w:rPr>
          <w:b/>
          <w:bCs/>
          <w:sz w:val="28"/>
          <w:szCs w:val="28"/>
        </w:rPr>
        <w:t xml:space="preserve"> МІСЬКА РАДА</w:t>
      </w:r>
      <w:r>
        <w:rPr>
          <w:sz w:val="28"/>
          <w:szCs w:val="28"/>
        </w:rPr>
      </w:r>
      <w:r/>
    </w:p>
    <w:p>
      <w:pPr>
        <w:pStyle w:val="597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КОРЮКІВСЬКОГО РАЙОНУ ЧЕРНІГІВСЬКОЇ ОБЛАСТІ</w:t>
      </w:r>
      <w:r>
        <w:rPr>
          <w:sz w:val="28"/>
          <w:szCs w:val="28"/>
        </w:rPr>
      </w:r>
      <w:r/>
    </w:p>
    <w:p>
      <w:pPr>
        <w:pStyle w:val="597"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597"/>
        <w:ind w:left="5670"/>
        <w:rPr>
          <w:sz w:val="28"/>
          <w:szCs w:val="28"/>
        </w:rPr>
      </w:pPr>
      <w:r>
        <w:rPr>
          <w:sz w:val="28"/>
          <w:szCs w:val="28"/>
        </w:rPr>
        <w:t xml:space="preserve">ЗАТВЕРДЖЕНО</w:t>
      </w:r>
      <w:r/>
    </w:p>
    <w:p>
      <w:pPr>
        <w:pStyle w:val="597"/>
        <w:ind w:left="5670"/>
        <w:rPr>
          <w:sz w:val="28"/>
          <w:szCs w:val="28"/>
        </w:rPr>
      </w:pPr>
      <w:r>
        <w:rPr>
          <w:sz w:val="28"/>
          <w:szCs w:val="28"/>
        </w:rPr>
        <w:t xml:space="preserve">Розпорядженням міського голови</w:t>
      </w:r>
      <w:r/>
    </w:p>
    <w:p>
      <w:pPr>
        <w:pStyle w:val="597"/>
        <w:ind w:left="5670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від </w:t>
      </w:r>
      <w:r>
        <w:rPr>
          <w:sz w:val="28"/>
          <w:szCs w:val="28"/>
          <w:lang w:val="uk-UA"/>
        </w:rPr>
        <w:t xml:space="preserve">29 листопада</w:t>
      </w:r>
      <w:r>
        <w:rPr>
          <w:sz w:val="28"/>
          <w:szCs w:val="28"/>
        </w:rPr>
        <w:t xml:space="preserve"> 20</w:t>
      </w:r>
      <w:r>
        <w:rPr>
          <w:sz w:val="28"/>
          <w:szCs w:val="28"/>
          <w:lang w:val="uk-UA"/>
        </w:rPr>
        <w:t xml:space="preserve">21</w:t>
      </w:r>
      <w:r>
        <w:rPr>
          <w:sz w:val="28"/>
          <w:szCs w:val="28"/>
        </w:rPr>
        <w:t xml:space="preserve"> року № </w:t>
      </w:r>
      <w:r>
        <w:rPr>
          <w:sz w:val="28"/>
          <w:szCs w:val="28"/>
          <w:lang w:val="uk-UA"/>
        </w:rPr>
        <w:t xml:space="preserve">435</w:t>
      </w:r>
      <w:r>
        <w:rPr>
          <w:sz w:val="28"/>
          <w:szCs w:val="28"/>
          <w:lang w:val="uk-UA"/>
        </w:rPr>
      </w:r>
      <w:r/>
    </w:p>
    <w:p>
      <w:pPr>
        <w:pStyle w:val="597"/>
        <w:ind w:left="5812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597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ПОЛОЖЕННЯ</w:t>
      </w:r>
      <w:r>
        <w:rPr>
          <w:b/>
          <w:sz w:val="28"/>
          <w:szCs w:val="28"/>
          <w:lang w:val="uk-UA"/>
        </w:rPr>
      </w:r>
      <w:r/>
    </w:p>
    <w:p>
      <w:pPr>
        <w:pStyle w:val="597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про розробку інструкцій з охорони праці</w:t>
      </w:r>
      <w:r/>
    </w:p>
    <w:p>
      <w:pPr>
        <w:pStyle w:val="597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1.1. Положення  встановлює  вимоги  до  змісту,  побудови   і викладу  інструкцій з охорони праці (далі - інструкції),  визначає порядок  опрацювання  та  введення  в  дію  нових,  перегляду   та скасування чинних інструкцій.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Вимоги цього Положення є обов'язковими для всіх  міністерств, інших органів виконавчої влади, підприємств, установ і організацій (далі - підприємства) незалежно від форм  власності  та  видів  їх діяльності.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1.2. Інструкція є нормативним актом,  що містить  обов'язкові для  дотримання  працівниками вимоги з охорони праці при виконанні ними робіт певного виду або за певною професією на</w:t>
      </w:r>
      <w:r>
        <w:rPr>
          <w:sz w:val="28"/>
          <w:szCs w:val="28"/>
          <w:lang w:val="uk-UA"/>
        </w:rPr>
        <w:t xml:space="preserve"> робочих місцях, у виробничих приміщеннях,  на території підприємства і будівельних майданчиках або в інших  місцях,  де  за  дорученням  власника  чи уповноваженого  ним  органу  (далі  - роботодавець) виконуються ці роботи, трудові чи службові обов'язки.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Інструкції поділяються на: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інструкції, що належать до державних міжгалузевих нормативних актів про охорону праці;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примірні інструкції;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інструкції, що діють на підприємстві.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1.3. Інструкції,  що  належать  до   державних   міжгалузевих нормативних актів про охорону праці,  розробляються для персоналу, який провадить вибухові роботи, обслуговує електричні установки та пристрої,  вантажопідіймальні машини т</w:t>
      </w:r>
      <w:r>
        <w:rPr>
          <w:sz w:val="28"/>
          <w:szCs w:val="28"/>
          <w:lang w:val="uk-UA"/>
        </w:rPr>
        <w:t xml:space="preserve">а ліфти, котельні установки, посудини,  що перебувають під тиском,  і  для  інших  працівників, правила  безпеки праці яких установлені міжгалузевими нормативними актами  про  охорону  праці,  затвердженими  органами   державного нагляду за охороною праці.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Ці інструкції затверджуються відповідними органами державного нагляду  за  охороною  праці  за  узгодженням з міністерствами або іншими органами,  до компетенції яких нал</w:t>
      </w:r>
      <w:r>
        <w:rPr>
          <w:sz w:val="28"/>
          <w:szCs w:val="28"/>
          <w:lang w:val="uk-UA"/>
        </w:rPr>
        <w:t xml:space="preserve">ежить дана інструкція або окремі  її вимоги,  і їх дотримання є обов'язковим для працівників відповідних професій або при виконанні відповідних видів робіт  на всіх  підприємствах  незалежно  від  їх  підпорядкованості,  форми власності та виду діяльності.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1.4. Примірні  інструкції  затверджуються  міністерствами або іншими органами виконавчої влади, виробничими, науково-виробничими та   іншими   об'єднаннями   підприємств,   які  мають  відповідну компетенцію,  за узгодженням  з  о</w:t>
      </w:r>
      <w:r>
        <w:rPr>
          <w:sz w:val="28"/>
          <w:szCs w:val="28"/>
          <w:lang w:val="uk-UA"/>
        </w:rPr>
        <w:t xml:space="preserve">рганами  державного  нагляду  за охороною  праці,  до компетенції яких належить дана інструкція або окремі її вимоги,  і Національним НДІ охорони праці. Ці інструкції можуть  використовуватись  як  основа для розробки інструкцій,  що діють на підприємстві.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1.5. Інструкції,   що  діють  на  підприємстві,  належать  до нормативних актів про охорону праці,  чинних у  межах  конкретного підприємства.  Такі  інструкції  розробляються  на  основі  чинних державних м</w:t>
      </w:r>
      <w:r>
        <w:rPr>
          <w:sz w:val="28"/>
          <w:szCs w:val="28"/>
          <w:lang w:val="uk-UA"/>
        </w:rPr>
        <w:t xml:space="preserve">іжгалузевих і галузевих нормативних актів  про  охорону праці,   примірних   інструкцій   та   технологічної  документації підприємства з урахуванням конкретних умов  виробництва  та  вимог безпеки,  викладених  в  експлуатаційній та ремонтній документації</w:t>
      </w:r>
      <w:r>
        <w:rPr>
          <w:sz w:val="28"/>
          <w:szCs w:val="28"/>
          <w:lang w:val="uk-UA"/>
        </w:rPr>
        <w:t xml:space="preserve"> підприємств-виготовлювачів  обладнання,  що   використовується  на даному   підприємстві.   Вони   затверджуються  роботодавцем  і  є обов'язковими для дотримання працівниками відповідних професій або при виконанні відповідних робіт на цьому підприємстві.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1.6. Інструкції  повинні  відповідати  чинному  </w:t>
      </w:r>
      <w:r>
        <w:rPr>
          <w:sz w:val="28"/>
          <w:szCs w:val="28"/>
          <w:lang w:val="uk-UA"/>
        </w:rPr>
        <w:t xml:space="preserve">законодавству України,  вимогам  державних  міжгалузевих і галузевих нормативних актів  про  охорону  праці:  правил,   норм,   стандартів,   інших нормативних  і  організаційно-методичних  документів  про  охорону праці, на основі яких вони розробляються.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1.7. Інструкції повинні містити</w:t>
      </w:r>
      <w:r>
        <w:rPr>
          <w:sz w:val="28"/>
          <w:szCs w:val="28"/>
          <w:lang w:val="uk-UA"/>
        </w:rPr>
        <w:t xml:space="preserve"> тільки ті вимоги щодо охорони праці,  дотримання яких обов'язкове самими працівниками. Порушення працівником  цих  вимог повинно розглядатися як порушення трудової дисципліни, за яке до нього може бути застосовано стягнення згідно з чинним законодавством.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1.8. Організація вивчення інструкцій працівниками забезпечується  роботодавцем  згідно  з ДНАОП 0.00-4.12-94 "Типове положення про навчання, інструктаж і перевірку знань працівників з питань охорони праці" </w:t>
      </w:r>
      <w:r>
        <w:rPr>
          <w:color w:val="008000"/>
          <w:sz w:val="28"/>
          <w:szCs w:val="28"/>
          <w:u w:val="single"/>
          <w:lang w:val="uk-UA"/>
        </w:rPr>
        <w:t xml:space="preserve">( z0095-94 )</w:t>
      </w:r>
      <w:r>
        <w:rPr>
          <w:sz w:val="28"/>
          <w:szCs w:val="28"/>
          <w:lang w:val="uk-UA"/>
        </w:rPr>
        <w:t xml:space="preserve">.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1.9. Постійний контроль  за  додержанням  працівниками  вимог інструкцій покладається на роботодавця.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1.10. Громадський контроль за додержанням всіма  працівниками вимог  інструкцій  здійснюють трудові колективи через обраних ними уповноважених і професійні спілки в особі своїх виборних органів і представників.</w:t>
      </w:r>
      <w:r/>
    </w:p>
    <w:p>
      <w:pPr>
        <w:pStyle w:val="59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597"/>
        <w:jc w:val="center"/>
        <w:rPr>
          <w:caps/>
          <w:sz w:val="28"/>
          <w:szCs w:val="28"/>
          <w:lang w:val="uk-UA"/>
        </w:rPr>
      </w:pPr>
      <w:r>
        <w:rPr>
          <w:caps/>
          <w:sz w:val="28"/>
          <w:szCs w:val="28"/>
          <w:lang w:val="uk-UA"/>
        </w:rPr>
        <w:t xml:space="preserve">2. Зміст і побудова інструкцій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2.1. Кожній   інструкції   присвоюється   назва  і  скорочене позначення (код, порядковий номер).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Інстру</w:t>
      </w:r>
      <w:r>
        <w:rPr>
          <w:sz w:val="28"/>
          <w:szCs w:val="28"/>
          <w:lang w:val="uk-UA"/>
        </w:rPr>
        <w:t xml:space="preserve">кціям, що    належать    до    державних   міжгалузевих нормативних  актів,  при  їх  включенні  до   Державного   реєстру міжгалузевих  і  галузевих  нормативних  актів  про  охорону праці присвоюються скорочені позначення, прийняті Держнаглядохоронпраці.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Примірним інструкціям,  що  затверджуються  міністерствами чи іншими органами  виконавчої  влади  та  об'єднаннями  підприємств, присвоюються   скорочені  позначення,  прийняті  Національним  НДІ охорони праці.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Інструкціям, що    розробляються    і    затверджуються    на підприємствах,  присвоюються  порядкові  номери  службами  охорони праці цих підприємств.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 назві інструкції стисло вказується, для якої  професії  або виду робіт вона призначена, наприклад: "Інструкція з охорони праці для електрозварника",  "Примірна інструкція з  охорони  праці  при роботі з ручним електроінструментом".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2.2. Включенню до інструкцій  підлягають  загальні  положення щодо охорони праці та організаційні і технічні вимоги безпеки,  що визначаються на основі: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чинного законодавства  України  про  працю  та охорону праці, стандартів,    правил,    норм    та    інших    нормативних     і організаційно-методичних документів про охорону праці;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аналізу документів  з  охорони  праці  стосовно  відповідного виробництва, професії (виду робіт);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характеристики робіт,  що  підлягають  виконанню  працівником конкретної   професії   у   відповідності   з  її  кваліфікаційною характеристикою;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вимог безпеки    д</w:t>
      </w:r>
      <w:r>
        <w:rPr>
          <w:sz w:val="28"/>
          <w:szCs w:val="28"/>
          <w:lang w:val="uk-UA"/>
        </w:rPr>
        <w:t xml:space="preserve">о   технологічного   процесу,   виробничого обладнання,  інструментів  і  пристроїв,  що  застосовуються   при виконанні відповідних робіт, а також вимог безпеки, що містяться в експлуатаційній  та  ремонтній  документації  і  в  технологічному регламенті;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виявлення небезпечних  і   шкідливих   виробничих   факторів, характерних  для  даної  професії  (в</w:t>
      </w:r>
      <w:r>
        <w:rPr>
          <w:sz w:val="28"/>
          <w:szCs w:val="28"/>
          <w:lang w:val="uk-UA"/>
        </w:rPr>
        <w:t xml:space="preserve">иду робіт) як при нормальному протіканні процесу, так і при відхиленнях від оптимального режиму, визначення   заходів   та   засобів   захисту  від  них,  вивчення конструктивних  та  експлуатаційних  особливостей  і  ефективності використання цих засобів;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аналізу обставин  та  причин  найбільш  імовірних   аварійних ситуацій,    нещасних   випадків   та   професійних   захворювань, характерних для даної професії (виду робіт);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вивчення передового  досвіду  безпечної  організації праці та виконання відповідних робіт,  визначення найбезпечніших методів та прийомів їх виконання.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2.3. Вимоги    інструкцій    викладаються    відповідно    до послідовності технологічного процесу і з урахуванням умов,  у яких виконується даний вид робіт.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2.4. Інструкції повинні містити такі розділи: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загальні положення;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вимоги безпеки перед початком роботи;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вимоги безпеки під час виконання роботи;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вимоги безпеки після закінчення роботи;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вимоги безпеки в аварійних ситуаціях.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 необхідності  в  інструкції можна включити й</w:t>
      </w:r>
      <w:r>
        <w:rPr>
          <w:sz w:val="28"/>
          <w:szCs w:val="28"/>
          <w:lang w:val="uk-UA"/>
        </w:rPr>
        <w:t xml:space="preserve"> інші розділи. Наприклад,  у примірних інструкціях може бути передбачений  розділ "Вступ", у якому відображаються відповідні положення законодавства України про працю та охорону праці, вказівки щодо порядку внесення змін і доповнень до цих інструкцій тощо.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Для розміщення мат</w:t>
      </w:r>
      <w:r>
        <w:rPr>
          <w:sz w:val="28"/>
          <w:szCs w:val="28"/>
          <w:lang w:val="uk-UA"/>
        </w:rPr>
        <w:t xml:space="preserve">еріалів,  які  доповнюють  основну  частину інструкцій,  ілюструють  чи  конкретизують її окремі вимоги,  може бути включений розділ "Додатки".  У  цьому  ж  розділі  може  бути наведений  перелік нормативних актів,  на підставі яких розроблена інструкція.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2.5. Розділ "Загальні положення" повинен містити: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відомості про сферу застосування інструкції;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загальні відомості  про об'єкт розробки:  визначення робочого місця працівника даної професії  (виду  </w:t>
      </w:r>
      <w:r>
        <w:rPr>
          <w:sz w:val="28"/>
          <w:szCs w:val="28"/>
          <w:lang w:val="uk-UA"/>
        </w:rPr>
        <w:t xml:space="preserve">робіт)  в  залежності  від тривалості  його  перебування  на  ньому  протягом  робочої  зміни (постійне чи непостійне);  коротка  характеристика  технологічного процесу та обладнання,  що застосовується на цьому робочому місці, виробничій дільниці, в цеху;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умови і  порядок допуску працівників до самостійно</w:t>
      </w:r>
      <w:r>
        <w:rPr>
          <w:sz w:val="28"/>
          <w:szCs w:val="28"/>
          <w:lang w:val="uk-UA"/>
        </w:rPr>
        <w:t xml:space="preserve">ї роботи за професією або до виконання відповідного виду  робіт  (вимоги  щодо віку, стажу роботи, статі, стану здоров'я, проходження медоглядів, професійної освіти  та  спеціального  навчання  з  питань  охорони праці, інструктажів, перевірки знань тощо);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вимоги правил   внутрішнього   трудового    розпорядку,    що сто</w:t>
      </w:r>
      <w:r>
        <w:rPr>
          <w:sz w:val="28"/>
          <w:szCs w:val="28"/>
          <w:lang w:val="uk-UA"/>
        </w:rPr>
        <w:t xml:space="preserve">суються   питань  охорони  праці  для  даного  виду  робіт  або професії, а також відомості про специфічні особливості організації праці  і  технологічних  процесів  та про коло трудових обов'язків працівників даної професії (що виконують даний вид робіт);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характеристику основних  небезпечних  та шкідливих виробничих факторів для даної професії (виду робіт), особливості їх впливу на працівника;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перелік видів  спецодягу,   спецвзуття   та   інших   засобів індивідуального  захисту,  що належать до видачі працівникам даної професії (виду робіт) згідно з  чинними  нормами,  із  зазначенням стандартів або технічних умов на них;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вимоги санітарних  норм  і  правил  особистої  гігієни,  яких повинен дотримуватись працівник під час виконання роботи.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2.6. Розділ "Вимоги безпеки перед  початком  роботи"  повинен містити: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порядок приймання зміни у випадку безперервної роботи, в тому числі  при  порушенні  режиму  роботи  виробничого  обладнання або технологічного процесу;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порядок підготовки  робочого  місця,  засобів індивідуального захисту;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порядок перевірки    справності    обладнання,   інструменту, захисних пристроїв небезпечних зон машин</w:t>
      </w:r>
      <w:r>
        <w:rPr>
          <w:sz w:val="28"/>
          <w:szCs w:val="28"/>
          <w:lang w:val="uk-UA"/>
        </w:rPr>
        <w:t xml:space="preserve"> і  механізмів,  пускових, запобіжних,  гальмових  і очисних пристроїв,  систем блокування та сигналізації,  вентиляції та освітлення, знаків безпеки, первинних засобів  пожежогасіння,  виявлення  видимих  пошкоджень  захисного заземлення (занулення) тощо;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порядок перевірки  наявності  та  стану  вихідних  матеріалів (сировини, заготовок, напівфабрикатів);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порядок повідомлення  роботодавця  про  виявлені несправності обладнання,  пристроїв, пристосувань, інструменту, засобів захисту тощо.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2.7. Розділ "Вимоги безпеки під час роботи" повинен містити: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відомості щодо  безпечної  організації прац</w:t>
      </w:r>
      <w:r>
        <w:rPr>
          <w:sz w:val="28"/>
          <w:szCs w:val="28"/>
          <w:lang w:val="uk-UA"/>
        </w:rPr>
        <w:t xml:space="preserve">і,  про прийоми та методи   безпечного   виконання   робіт,   правила    використання технологічного  обладнання,  пристроїв  та  інструментів,  а також застереження про можливі небезпечні, неправильні методи та прийоми праці, які заборонено застосовувати;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правила безпечного   поводження   з   вихідними   матеріалами (сировиною,  заготовками, напівфабрикатами), з готовою продукцією, допоміжними  матеріалами  та  відходами  виробництва,  що  являють небезпеку для працівників;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правила безпечної експлуатації внутрішньоцехових транспортних і вантажопідіймальних засобів і механізмів,  тари;  вимоги безпеки при вантажно-розвантажувальних роботах та транспортуванні вантажу;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вказівки щодо  порядку  утримання робочого місця в безпечному стані;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можливі види  небезпечних  відхилень  від  нормального режиму роботи  обладнання  та  технологічного  регламенту  і  способи  їх усунення;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вимоги щодо   використання   засобів    індивідуального    та колективного   захисту  від  шкідливих  і  небезпечних  виробничих факторів;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умови, за  яких  робота  повинна  бути  припинена  (технічні, метеорологічні, санітарно-гігієнічні тощо);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вимоги щодо забезпечення пожежо- та вибухобезпеки;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порядок повідомлення  роботодавця  про  нещасні  випадки   чи раптові</w:t>
      </w:r>
      <w:r>
        <w:rPr>
          <w:sz w:val="28"/>
          <w:szCs w:val="28"/>
          <w:lang w:val="uk-UA"/>
        </w:rPr>
        <w:t xml:space="preserve">  захворювання,  факти  порушення  технологічного  процесу, виявлені   несправності   обладнання,   устаткування,   пристроїв, інструменту,  засобів  захисту  та про інші небезпечні та шкідливі виробничі фактори, що загрожують життю і здоров'ю працівників.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2.8. Розділ  "Вимоги безпеки після закінчення роботи" повинен містити: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порядок безпечного вимикання, зупинення, розбирання, очищення і змащення обладнання,  пристроїв, машин, механізмів та апаратури, а при безперервному процесі - порядок передачі їх черговій зміні;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порядок здавання робочого місця;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порядок прибирання відходів виробництва;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вимоги санітарних  норм  і  правил  особистої  гігієни,  яких повинен дотримуватись працівник після закінчення роботи;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порядок повідомлення  роботодавця  про   всі   недоліки,   що виявились у процесі роботи.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2.9. Розділ "Вимоги безпеки в  аварійних  ситуаціях"  повинен містити: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відомості про ознаки можливих аварійних ситуацій,  характерні причини аварій (вибухів, пожеж тощо);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відомості про  засоби  та  дії,  спрямовані  на   запобігання можливим аваріям;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порядок дій,  особисті   обов'язки   та   правила   поведінки працівника при виникненні аварії згідно з планом її ліквідації,  в тому числі у випадку  її  виникнення  під  час  передачі-приймання зміни при безперервній роботі;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порядок повідомлення роботодавця про аварії та  ситуації,  що можуть до них призвести;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відомості про порядок  застосування  засобів  протиаварійного захисту та сигналізації;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порядок дій щодо подання першої медичної допомоги  потерпілим під час аварії.</w:t>
      </w:r>
      <w:r/>
    </w:p>
    <w:p>
      <w:pPr>
        <w:pStyle w:val="59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597"/>
        <w:jc w:val="center"/>
        <w:rPr>
          <w:caps/>
          <w:sz w:val="28"/>
          <w:szCs w:val="28"/>
          <w:lang w:val="uk-UA"/>
        </w:rPr>
      </w:pPr>
      <w:r>
        <w:rPr>
          <w:caps/>
          <w:sz w:val="28"/>
          <w:szCs w:val="28"/>
          <w:lang w:val="uk-UA"/>
        </w:rPr>
        <w:t xml:space="preserve">3. Викладення тексту інструкцій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При викладенні   тексту  інструкції  слід  керуватися  такими правилами: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текст інструкції   повинен  бути  стислим,  зрозумілим  і  не допускати різних тлумачень;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інструкція не  повинна  містити  посилань на нормативні акти, вимоги яких враховуються  при  її  розробці.  За  необхідності  ці вимоги відтворюються дослівно;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слід вживати терміни і визначення,  прийняті в Законі України "Про охорону праці" </w:t>
      </w:r>
      <w:r>
        <w:rPr>
          <w:color w:val="008000"/>
          <w:sz w:val="28"/>
          <w:szCs w:val="28"/>
          <w:u w:val="single"/>
          <w:lang w:val="uk-UA"/>
        </w:rPr>
        <w:t xml:space="preserve">( 2694-12 )</w:t>
      </w:r>
      <w:r>
        <w:rPr>
          <w:sz w:val="28"/>
          <w:szCs w:val="28"/>
          <w:lang w:val="uk-UA"/>
        </w:rPr>
        <w:t xml:space="preserve">, ДСТУ 2293-93 ССБП "Охорона праці. Терміни та визначення", ДК 003-95 "Державний класифікатор України. Класифікатор професій" та в інших нормативних актах;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 тексті інструкцій не допускається застосування не властивих для   нормативних   актів   зворотів   розмовної  мови,  довільних сло</w:t>
      </w:r>
      <w:r>
        <w:rPr>
          <w:sz w:val="28"/>
          <w:szCs w:val="28"/>
          <w:lang w:val="uk-UA"/>
        </w:rPr>
        <w:t xml:space="preserve">восполучень,  скорочення слів,  використання для одного поняття різних  термінів,  а також іноземних слів чи термінів за наявності рівнозначних слів чи термінів  в  українській  мові;  допускається застосування  лише  загальноприйнятих  скорочень  і абреві</w:t>
      </w:r>
      <w:r>
        <w:rPr>
          <w:sz w:val="28"/>
          <w:szCs w:val="28"/>
          <w:lang w:val="uk-UA"/>
        </w:rPr>
        <w:t xml:space="preserve">атур,  а також  заміна  застосованих  у  даній  інструкції   словосполучень скороченням  або  абревіатурою  за умови повного відтворення цього словосполучення при першому згадуванні в тексті із  зазначенням  у дужках відповідного скорочення чи абревіатури;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 тексті  інструкції  слід  уникати  виклад</w:t>
      </w:r>
      <w:r>
        <w:rPr>
          <w:sz w:val="28"/>
          <w:szCs w:val="28"/>
          <w:lang w:val="uk-UA"/>
        </w:rPr>
        <w:t xml:space="preserve">у  вимог  у  формі заборони,  а при необхідності слід давати пояснення, чим викликана заборона;  не   повинні   застосовуватися   слова   "категорично", "особливо",  "обов'язково",  "суворо" та ін.,  оскільки всі вимоги інструкції є однаково обов'язковими;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для наочності    окремі   вимоги   інструкцій   можуть   бути ілюстровані малюнками, схемами, кресленнями тощо;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якщо безпека  роботи  обумовлена  певними  нормами  (величини відстаней,  напруги та ін.),  то  вони  повинні  бути  наведені  в інструкції.</w:t>
      </w:r>
      <w:r/>
    </w:p>
    <w:p>
      <w:pPr>
        <w:pStyle w:val="59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597"/>
        <w:jc w:val="center"/>
        <w:rPr>
          <w:caps/>
          <w:sz w:val="28"/>
          <w:szCs w:val="28"/>
          <w:lang w:val="uk-UA"/>
        </w:rPr>
      </w:pPr>
      <w:r>
        <w:rPr>
          <w:caps/>
          <w:sz w:val="28"/>
          <w:szCs w:val="28"/>
          <w:lang w:val="uk-UA"/>
        </w:rPr>
        <w:t xml:space="preserve">4. Порядок розробки, </w:t>
      </w:r>
      <w:r>
        <w:rPr>
          <w:caps/>
          <w:sz w:val="28"/>
          <w:szCs w:val="28"/>
          <w:lang w:val="uk-UA"/>
        </w:rPr>
      </w:r>
      <w:r/>
    </w:p>
    <w:p>
      <w:pPr>
        <w:pStyle w:val="597"/>
        <w:jc w:val="center"/>
        <w:rPr>
          <w:caps/>
          <w:sz w:val="28"/>
          <w:szCs w:val="28"/>
          <w:lang w:val="uk-UA"/>
        </w:rPr>
      </w:pPr>
      <w:r>
        <w:rPr>
          <w:caps/>
          <w:sz w:val="28"/>
          <w:szCs w:val="28"/>
          <w:lang w:val="uk-UA"/>
        </w:rPr>
        <w:t xml:space="preserve">затвердження та введення інструкцій в дію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4.1. Інструкції,  що  належать  до   державних   міжгалузевих нормативних актів про охорону праці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4.1.1. Розробка,  затвердження та введення в дію  інструк</w:t>
      </w:r>
      <w:r>
        <w:rPr>
          <w:sz w:val="28"/>
          <w:szCs w:val="28"/>
          <w:lang w:val="uk-UA"/>
        </w:rPr>
        <w:t xml:space="preserve">цій, що  належать  до  державних  міжгалузевих  нормативних  актів  про охорону праці,  здійснюються згідно з Положенням про  опрацювання, прийняття,   перегляд   та  скасування  державних  міжгалузевих  і галузевих нормативних  актів  про  охорону  праці </w:t>
      </w:r>
      <w:r>
        <w:rPr>
          <w:color w:val="008000"/>
          <w:sz w:val="28"/>
          <w:szCs w:val="28"/>
          <w:u w:val="single"/>
          <w:lang w:val="uk-UA"/>
        </w:rPr>
        <w:t xml:space="preserve">( z00</w:t>
      </w:r>
      <w:r>
        <w:rPr>
          <w:color w:val="008000"/>
          <w:sz w:val="28"/>
          <w:szCs w:val="28"/>
          <w:u w:val="single"/>
          <w:lang w:val="uk-UA"/>
        </w:rPr>
        <w:t xml:space="preserve">94-94 )</w:t>
      </w:r>
      <w:r>
        <w:rPr>
          <w:sz w:val="28"/>
          <w:szCs w:val="28"/>
          <w:lang w:val="uk-UA"/>
        </w:rPr>
        <w:t xml:space="preserve"> і з урахуванням вимог цього Положення.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4.1.2. У разі  неповного  відображення  в  інструкції</w:t>
      </w:r>
      <w:r>
        <w:rPr>
          <w:sz w:val="28"/>
          <w:szCs w:val="28"/>
          <w:lang w:val="uk-UA"/>
        </w:rPr>
        <w:t xml:space="preserve">,  що  є державним міжгалузевим нормативним актом про охорону праці,  вимог щодо охорони праці працівників,  безпечного виконання робіт,  умов безпечної експлуатації машин,  механізмів, обладнання, установок і пристроїв,  властивих для даного підприємства </w:t>
      </w:r>
      <w:r>
        <w:rPr>
          <w:sz w:val="28"/>
          <w:szCs w:val="28"/>
          <w:lang w:val="uk-UA"/>
        </w:rPr>
        <w:t xml:space="preserve">(дільниці,  робочого місця), або за наявності в ній поряд з вимогами, обов'язковими для дотримання працівниками даного підприємства,  вимог  безпеки  щодо робіт,   не   властивих   для   нього,   роботодавець  у  порядку, встановленому пунктом 4.3.1 цього </w:t>
      </w:r>
      <w:r>
        <w:rPr>
          <w:sz w:val="28"/>
          <w:szCs w:val="28"/>
          <w:lang w:val="uk-UA"/>
        </w:rPr>
        <w:t xml:space="preserve">Положення,  організовує розробку на   основі   цієї   інструкції,  з  урахуванням  конкретних  умов підприємства,  відповідної інструкції,  що діє на підприємстві,  і затверджує    її    за    узгодженням    з    місцевими   органами Держнаглядохоронпраці.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4.2. Примірні інструкції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4.2.1. Примірні   інс</w:t>
      </w:r>
      <w:r>
        <w:rPr>
          <w:sz w:val="28"/>
          <w:szCs w:val="28"/>
          <w:lang w:val="uk-UA"/>
        </w:rPr>
        <w:t xml:space="preserve">трукції  для  працівників,  зайнятих  на роботах,  що є провідними для певної галузі виробництва,  регіону, виробничого,    наукового-виробничого   чи    іншого    об'єднання підприємств, за  винятком  персоналу та працівників,  зазначених у п.1.3 цього  П</w:t>
      </w:r>
      <w:r>
        <w:rPr>
          <w:sz w:val="28"/>
          <w:szCs w:val="28"/>
          <w:lang w:val="uk-UA"/>
        </w:rPr>
        <w:t xml:space="preserve">оложення,  розробляються  базовими  організаціями  з питань    нормотворчої   діяльності   в   сфері   охорони   праці, науково-дослідними,          проектно-конструкторськими          і проектно-технологічними        організаціями,        регіональними на</w:t>
      </w:r>
      <w:r>
        <w:rPr>
          <w:sz w:val="28"/>
          <w:szCs w:val="28"/>
          <w:lang w:val="uk-UA"/>
        </w:rPr>
        <w:t xml:space="preserve">вчально-методичними центрами (кабінетами) охорони праці, а також окремими    підприємствами    чи    групами   фахівців   (далі   - організація-розробник) під координацією і за методичною  допомогою Національного науково-дослідного інституту охорони праці.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Призначення такої     організації-розробника     здійснюється міністерством  чи  іншим  органом  виконавчої  влади,  відповідним об'єднанням підприємств.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Примірні інструкції для працівників,  які  залучатимуться  до виконання  робіт  за  новими  технологіями  і  впровадження  нових технічних засобів виробництва,  матеріалів, видів енергії і т.ін., опрацьовуються організаціями-розробниками цих тех</w:t>
      </w:r>
      <w:r>
        <w:rPr>
          <w:sz w:val="28"/>
          <w:szCs w:val="28"/>
          <w:lang w:val="uk-UA"/>
        </w:rPr>
        <w:t xml:space="preserve">нологій,  засобів виробництва, матеріалів і підприємствами-виготовлювачами одночасно з розробкою відповідної технологічної,  проектно-конструкторської, експлуатаційної  та  ремонтної  документації   і   є   невід'ємною складовою частиною цієї документації.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4.2.2. Розробка пр</w:t>
      </w:r>
      <w:r>
        <w:rPr>
          <w:sz w:val="28"/>
          <w:szCs w:val="28"/>
          <w:lang w:val="uk-UA"/>
        </w:rPr>
        <w:t xml:space="preserve">имірних інструкцій  здійснюється  згідно  з планами  робіт  з  охорони праці,  затвердженими міністерствами чи іншими  органами  виконавчої  влади,   відповідними   об'єднаннями підприємств,   а  також  на  підставі  наказів  (розпоряджень)  їх керівників.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4.2.3. Розробка  примірних  інструкцій здійснюється за такими основними стадіями: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розробка першої   редакції  проекту  примірної  інструкції  і направлення його на відзив;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розробка остаточної редакції проекту примірної інструкції;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узгодження і подання остаточної  редакції  проекту  примірної інструкції на затвердження і реєстрацію;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видання (тиражування) затвердженої примірної інструкції і  її розповсюдження.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4.2.4. Проект  примірної  інструкції,  розроблений  в  першій редакції    і    підписаний   керівником  </w:t>
      </w:r>
      <w:r>
        <w:rPr>
          <w:sz w:val="28"/>
          <w:szCs w:val="28"/>
          <w:lang w:val="uk-UA"/>
        </w:rPr>
        <w:t xml:space="preserve"> організації-розробника, направляється на відзив підприємствам, для яких дана професія (вид роботи) є провідною,  згідно з переліком,  затвердженим керівником служби охорони праці  міністерства  чи  іншого  органу  виконавчої влади, об'єднання підприємств.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Зазначені підприємства  складають  і  над</w:t>
      </w:r>
      <w:r>
        <w:rPr>
          <w:sz w:val="28"/>
          <w:szCs w:val="28"/>
          <w:lang w:val="uk-UA"/>
        </w:rPr>
        <w:t xml:space="preserve">силають  відповідний відзив  на  адресу  організації-розробника у місячний термін з дня отримання проекту інструкції.  Якщо відзив у зазначений термін  не надіслано,   вважається,   що   зацікавлене  підприємство  не  має зауважень і пропозицій до проекту.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4.2.5. Організація-розробник   узагальнює  отримані  відзиви, складає їх зведення і на підставі пропозицій та  зауважень,  що  в них містяться, доопрацьовує проект примірної інструкції.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4.2.6. Доопрацьований з урахуванням відзивів проект примірної інструкції  разом  із  зведенням  відзивів подається на розгляд до відповідного  міністерства  чи  іншого  органу  виконавчої  влади, об'єднання підприємств.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 наявності суттєвих  розбіжностей  щодо  проекту  примірної інструкції  організація-розробник  розглядає їх та усуває згідно з поданими  пропозиціями   служби   охорони   праці   цього   органу (об'єднання).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4.2.7. У  необхі</w:t>
      </w:r>
      <w:r>
        <w:rPr>
          <w:sz w:val="28"/>
          <w:szCs w:val="28"/>
          <w:lang w:val="uk-UA"/>
        </w:rPr>
        <w:t xml:space="preserve">дних  випадках   орган   (об'єднання),   який затверджує проект примірної інструкції,  може прийняти рішення про повернення його на доопрацювання чи проведення експертизи  проекту відповідною   компетентною  організацією  або  власною  експертною комісією.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 випадках,   коли   це  доцільно,  експерти  від  незалежних компетентних організацій можуть бути включені до складу експертної комісії, створеної цим органом (об'єднанням).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4.2.8. Розглянутий  та  завізований  службою  охорони   праці зазначе</w:t>
      </w:r>
      <w:r>
        <w:rPr>
          <w:sz w:val="28"/>
          <w:szCs w:val="28"/>
          <w:lang w:val="uk-UA"/>
        </w:rPr>
        <w:t xml:space="preserve">ного   в   п.4.2.6  органу  (об'єднання)  проект  примірної інструкції    разом    із     зведенням     відзивів     подається організацією-розробником  на  узгодження  до  відповідних  органів державного нагляду,  до компетенції яких належить дана  інстру</w:t>
      </w:r>
      <w:r>
        <w:rPr>
          <w:sz w:val="28"/>
          <w:szCs w:val="28"/>
          <w:lang w:val="uk-UA"/>
        </w:rPr>
        <w:t xml:space="preserve">кція або  окремі  її  вимоги,  і  до  Національного  НДІ охорони праці. Узгоджувальні органи розглядають  проект  примірної  інструкції  і надсилають  організації-розробнику  свої висновки в термін,  що не перевищує одного місяця від дня одержання проекту.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 разі  виникнення  суттєвих зауважень щодо проекту примірної інструкції під час її узгодження організація-розробник  забезпечує їх розгляд та врахування до подання інструкції на затвердження.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4.2.9. Узгоджена   остаточна   редакція   проекту   примірної інструкції   (у   чотирьох   примірниках),   підписана  к</w:t>
      </w:r>
      <w:r>
        <w:rPr>
          <w:sz w:val="28"/>
          <w:szCs w:val="28"/>
          <w:lang w:val="uk-UA"/>
        </w:rPr>
        <w:t xml:space="preserve">ерівником організації-розробника,  із  зведенням  відзивів  та   оригіналами документів,   що   підтверджують   її   узгодження,  подається  на затвердження до органу (об'єднання),  на підставі плану роботи  чи наказу (розпорядження) якого вона розроблена.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4.2.10. Розгляд  узгодженої   остаточної</w:t>
      </w:r>
      <w:r>
        <w:rPr>
          <w:sz w:val="28"/>
          <w:szCs w:val="28"/>
          <w:lang w:val="uk-UA"/>
        </w:rPr>
        <w:t xml:space="preserve">   редакції   проекту примірної  інструкції  та  її  затвердження міністерством чи іншим органом виконавчої влади або об'єднанням підприємств  здійснюється в  установленому  ними  порядку  у термін,  що не перевищує одного місяця від дня одержання проекту.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4.2.11. Примірна     інструкція     затверджується    наказом міністерства чи іншого  органу  виконавчої  влади  або  об'єднання підприємств.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Титульний і   заголовний    аркуші    примірної    інструкції оформлюються згідно з додатками 1 і 2.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4.2.12. Міністерства  та  інші  органи  виконавчої  влади   і об'єднання  підприємств  ведуть  облік затверджених ними примірних інструкцій в установленому ними порядку.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Крім того,   затверджені   пр</w:t>
      </w:r>
      <w:r>
        <w:rPr>
          <w:sz w:val="28"/>
          <w:szCs w:val="28"/>
          <w:lang w:val="uk-UA"/>
        </w:rPr>
        <w:t xml:space="preserve">имірні   інструкції   підлягають реєстрації з присвоєнням їм скорочених позначень  у  Національному науково-дослідному    інституті    охорони   праці   за   поданням організацій-розробників у встановленому ним порядку, узгодженому з Держнаглядохоронпраці.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Контрольний примірник  зареєстрованої </w:t>
      </w:r>
      <w:r>
        <w:rPr>
          <w:sz w:val="28"/>
          <w:szCs w:val="28"/>
          <w:lang w:val="uk-UA"/>
        </w:rPr>
        <w:t xml:space="preserve"> примірної   інструкції залишається у Національному НДІ охорони праці,  один з примірників надсилається ним до редакції журналу "Охорона  праці"  для  друку, інші  примірники  повертаються  організації-розробнику  та органу, який затвердив дану інструкцію.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4.2.13. Відомості  про затвердження та видання зареєстрованих примірних інструкцій щоквартально публікуються в журналі  "Охорона праці"  та в інших виданнях органів державного нагляду за охороною праці за поданням Національного НДІ охорони праці.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4.2.14. Видання  та  розповсюдження  примірних  інструкцій  </w:t>
      </w:r>
      <w:r>
        <w:rPr>
          <w:sz w:val="28"/>
          <w:szCs w:val="28"/>
          <w:lang w:val="uk-UA"/>
        </w:rPr>
        <w:t xml:space="preserve">у вигляді  окремих  брошур,  односторонніх   аркушів   чи   плакатів здійснюється   редакцією   журналу   "Охорона   праці"  та  іншими видавництвами  в   установленому   порядку   за   рахунок   коштів підприємств-замовників (користувачів) цих інструкцій.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4.3. Розробка,  затвердження  та введення в дію інструкцій на підприємстві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4.3.</w:t>
      </w:r>
      <w:r>
        <w:rPr>
          <w:sz w:val="28"/>
          <w:szCs w:val="28"/>
          <w:lang w:val="uk-UA"/>
        </w:rPr>
        <w:t xml:space="preserve">1.Розробка, узгодження   і  затвердження  інструкцій,  що діють на підприємстві,  здійснюються згідно з  ДНАОП  0.00-8.03-93 "Порядок опрацювання і затвердження  власником нормативних  актів, що діють на підприємстві" і з урахуванням вимог цього Положення.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4.3.2. Інструкції,  що  діють на підприємстві,  розробляються відповідно  до  переліку  інструкцій,  який  склад</w:t>
      </w:r>
      <w:r>
        <w:rPr>
          <w:sz w:val="28"/>
          <w:szCs w:val="28"/>
          <w:lang w:val="uk-UA"/>
        </w:rPr>
        <w:t xml:space="preserve">ається   службою охорони праці підприємства за участю керівників підрозділів, служб головних спеціалістів (головного  технолога,  головного  механіка, головного    енергетика,   головного   металурга   тощо),   служби організації праці та заробітної плати.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Перелік необхідних   інструкцій   розробляється  на  підставі затвердженого на підприємстві штатного розпису у  відповідності  з ДК 003-95 "Державний класифікатор України. Класифікатор професій".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Цей перелік,  а також зміни чи доповнення  до  нього  в  разі зміни  назви професії,  впровадження нових видів робіт чи професій затверджуються  роботодавцем  і  розсилаються  в  усі   структурні підрозділи (служби) підприємства.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4.3.3. Загальне керівництво розробкою (переглядом) інструкцій на підприємстві покладається на роботодавця.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Роботодавець несе відповідальність за організацію  своєчасної розробки  (перегляду) та забезпечення всіх працівників необхідними інструкціями.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4.3.4. Розробка (перегляд) необхідних інструкцій, що діють </w:t>
      </w:r>
      <w:r>
        <w:rPr>
          <w:sz w:val="28"/>
          <w:szCs w:val="28"/>
          <w:lang w:val="uk-UA"/>
        </w:rPr>
        <w:t xml:space="preserve">на підприємстві,  здійснюється   безпосередніми   керівниками   робіт (начальник виробництва,  цеху,  дільниці,  відділу, лабораторії та інших  відповідних  їм  підрозділів  підприємства),   які   несуть відповідальність за своєчасне виконання цієї роботи.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4.3.5. Здійснення  систематичног</w:t>
      </w:r>
      <w:r>
        <w:rPr>
          <w:sz w:val="28"/>
          <w:szCs w:val="28"/>
          <w:lang w:val="uk-UA"/>
        </w:rPr>
        <w:t xml:space="preserve">о  контролю   за   своєчасною розробкою нових та відповідністю діючих на підприємстві інструкцій вимогам  чинного  законодавства,  їх  періодичним  переглядом   та своєчасним  внесенням  змін  і  доповнень до них,  а також подання відповідної  методичної  </w:t>
      </w:r>
      <w:r>
        <w:rPr>
          <w:sz w:val="28"/>
          <w:szCs w:val="28"/>
          <w:lang w:val="uk-UA"/>
        </w:rPr>
        <w:t xml:space="preserve"> допомоги   розробникам   і   організація придбання  для них примірних інструкцій,  стандартів ССБП та інших нормативно-технічних  і  організаційно-методичних  документів  про охорону  праці  покладається  роботодавцем на службу охорони праці підприємства.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4.3.6. У разі використання примірної інструкції як основи для розробки  інструкції,  що  діє  на  підприємстві,  вона   підлягає оформленню,  узгодженню  і  затвердженню в порядку,  встановленому п.п.4.3.1 і 4.3.9 цього Положення.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 необхідності   </w:t>
      </w:r>
      <w:r>
        <w:rPr>
          <w:sz w:val="28"/>
          <w:szCs w:val="28"/>
          <w:lang w:val="uk-UA"/>
        </w:rPr>
        <w:t xml:space="preserve">до   цієї   інструкції  вносяться  зміни  і доповнення стосовно конкретних умов даного підприємства (дільниці, робочого  місця)  і  з  урахуванням  вимог нормативних актів,  які набули   чинності   після   затвердження   відповідної   примірної інструкції.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4.3.7. Дл</w:t>
      </w:r>
      <w:r>
        <w:rPr>
          <w:sz w:val="28"/>
          <w:szCs w:val="28"/>
          <w:lang w:val="uk-UA"/>
        </w:rPr>
        <w:t xml:space="preserve">я нових  виробництв,  що  вводяться  в  дію  вперше, допускається   розробка   тимчасових   інструкцій,   що  діють  на підприємстві.  Тимчасові інструкції  повинні  відповідати  вимогам цього  Положення,  а їх вимоги - забезпечувати безпечне здійснення те</w:t>
      </w:r>
      <w:r>
        <w:rPr>
          <w:sz w:val="28"/>
          <w:szCs w:val="28"/>
          <w:lang w:val="uk-UA"/>
        </w:rPr>
        <w:t xml:space="preserve">хнологічних процесів (робіт) і безпечну експлуатацію обладнання. Такі  інструкції  можуть  розроблятися як за професіями,  так і за видами робіт і вводяться в дію на термін до  прийняття  зазначених виробництв в експлуатацію державною приймальною комісією.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4.3.8. Інструкція, що діє на підприємстві, набуває чинності з дня її затвердження, якщо інше не передбачене наказом роботодавця.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Інструкція повинна бути введена в дію до впровадження  нового технологічного процесу (початку виконання робіт), обладнання чи до початку роботи  нового  виробництва  після  відповідного  навчання працівників.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4.3.9. Титульний аркуш, перша та остання сторінки інструкції, що діє на підприємстві, оформлюються згідно з додатками 3, 4, 5.</w:t>
      </w:r>
      <w:r/>
    </w:p>
    <w:p>
      <w:pPr>
        <w:pStyle w:val="597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</w:r>
      <w:r/>
    </w:p>
    <w:p>
      <w:pPr>
        <w:pStyle w:val="597"/>
        <w:jc w:val="center"/>
        <w:rPr>
          <w:caps/>
          <w:sz w:val="28"/>
          <w:szCs w:val="28"/>
          <w:lang w:val="uk-UA"/>
        </w:rPr>
      </w:pPr>
      <w:r>
        <w:rPr>
          <w:caps/>
          <w:sz w:val="28"/>
          <w:szCs w:val="28"/>
          <w:lang w:val="uk-UA"/>
        </w:rPr>
        <w:t xml:space="preserve">5. Реєстрація, облік і видання інструкцій на підприємстві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5.1. Інструкції,  які вводяться в дію на даному підприємстві, реєструються службою охорони праці в журналі  реєстрації  (додаток 6) в порядку, встановленому роботодавцем.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5.2. Введені в дію  інструкції  видаються  (тиражуються)  або придбаються  у вигляді брошур (для видачі працівникам на руки) або односторонніх аркушів чи  плакатів  (для  вивішування  на  робочих місцях або виробничих дільницях).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5.3. Видача  інструкцій  керівникам  структурних  підрозділів (служб)   підприємства   провадиться   службою   охорони  праці  з реєстрацією в журналі обліку видачі інструкцій (додаток 7).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5.4. Інструкції  видаються працівникам на руки безпосередніми керівниками робіт під розпис у журналі реєстрації  інструктажів  з питань охорони праці під час проведення первинного інструктажу або вивішуються на його робочому місці.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5.5. У  кожного  керівника  структурного  підрозд</w:t>
      </w:r>
      <w:r>
        <w:rPr>
          <w:sz w:val="28"/>
          <w:szCs w:val="28"/>
          <w:lang w:val="uk-UA"/>
        </w:rPr>
        <w:t xml:space="preserve">ілу (служби) підприємства повинен  постійно  зберігатись  комплект  інструкцій, необхідних  у  даному  підрозділі  (службі)  для  працівників усіх професій і видів робіт даного підрозділу (служби), а також перелік цих інструкцій, затверджений роботодавцем.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 підприємствах, де структурні підрозділи відсутні, комплект інструкцій зберігається у роботодавця.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Крім того,  повний </w:t>
      </w:r>
      <w:r>
        <w:rPr>
          <w:sz w:val="28"/>
          <w:szCs w:val="28"/>
          <w:lang w:val="uk-UA"/>
        </w:rPr>
        <w:t xml:space="preserve">комплект інструкцій зберігається у певному доступному   для   працівників   місці,   визначеному   керівником структурного  підрозділу  (служби)  підприємства   з   урахуванням забезпечення   простоти   та   зручності   ознайомлення   з   ними працівників.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5.6. Роботодавець    безкоштовно    забезпечує   інструкціями працівників та керівників структурних підрозділів (служб).</w:t>
      </w:r>
      <w:r/>
    </w:p>
    <w:p>
      <w:pPr>
        <w:pStyle w:val="59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597"/>
        <w:jc w:val="center"/>
        <w:rPr>
          <w:caps/>
          <w:sz w:val="28"/>
          <w:szCs w:val="28"/>
          <w:lang w:val="uk-UA"/>
        </w:rPr>
      </w:pPr>
      <w:r>
        <w:rPr>
          <w:caps/>
          <w:sz w:val="28"/>
          <w:szCs w:val="28"/>
          <w:lang w:val="uk-UA"/>
        </w:rPr>
        <w:t xml:space="preserve">6. Перегляд, припинення чинності та скасування  інструкцій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6.1. Перегляд    інструкцій,   що   належать   до   державних міжгалузевих нормативних актів  про  охорону  праці  та  примірних інструкцій,  проводиться в міру потреби,  але не рідше одного разу на 10 років</w:t>
      </w:r>
      <w:r>
        <w:rPr>
          <w:sz w:val="28"/>
          <w:szCs w:val="28"/>
          <w:lang w:val="uk-UA"/>
        </w:rPr>
        <w:t xml:space="preserve">;  перегляд інструкцій,  що діють на підприємстві,  - в терміни,  передбачені  державними  нормативними актами про охорону праці, на підставі яких вони опрацьовані, але не рідше одного разу на 5 років, а для професій або видів робіт з підвищеною небезпекою</w:t>
      </w:r>
      <w:r/>
    </w:p>
    <w:p>
      <w:pPr>
        <w:pStyle w:val="59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не рідше одного разу на 3 роки.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6.2. Інструкції   переглядаються   до   закінчення  термінів, зазначених у пункті 6.1 цього Положення: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 разі  зміни  законодавства  України  про  працю  та охорону праці;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 разі  набуття  чинності новими або переглянутими державними нормативними актами про охорону праці;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 вказівкою  директивних  органів,  вищестоящих організацій, органів державного управління і нагляду за охороною праці;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 випадку   аварійної  ситуації  або  нещасного  випадку,  що викликали необхідність перегляду (зміни) інструкції;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при впровадженні   нових   технологій,  зміні  технологічного процесу або умов праці,  а  також  при  впровадженні  нових  видів обладнання, машин, механізмів, матеріалів, апаратури, пристроїв та інструментів, видів енергії тощо.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 останньому   випадку  перегляд  інструкції  проводиться  до зазначених впроваджень чи змін.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6.3. Перегляд,  тимчасове  припинення  чинності та скасування інструкцій,  що є державними між</w:t>
      </w:r>
      <w:r>
        <w:rPr>
          <w:sz w:val="28"/>
          <w:szCs w:val="28"/>
          <w:lang w:val="uk-UA"/>
        </w:rPr>
        <w:t xml:space="preserve">галузевими нормативними актами, та примірних  інструкцій  здійснюються  у порядку,  визначеному ДНАОП 0.00-4.14-94 "Положення про опрацювання,  прийняття,  перегляд  та скасування  державних  міжгалузевих  і галузевих нормативних актів про охорону праці"  </w:t>
      </w:r>
      <w:r>
        <w:rPr>
          <w:color w:val="008000"/>
          <w:sz w:val="28"/>
          <w:szCs w:val="28"/>
          <w:u w:val="single"/>
          <w:lang w:val="uk-UA"/>
        </w:rPr>
        <w:t xml:space="preserve">(  z0094-94  )</w:t>
      </w:r>
      <w:r>
        <w:rPr>
          <w:sz w:val="28"/>
          <w:szCs w:val="28"/>
          <w:lang w:val="uk-UA"/>
        </w:rPr>
        <w:t xml:space="preserve">,  а  інструкцій,  що  діють  на підприємстві, - у порядку, визначеному ДНАОП 0.00-8.03-93 "Порядок опрацювання і  затвердження власником нормативних актів,  що діють на підприємстві".</w:t>
      </w:r>
      <w:r/>
    </w:p>
    <w:p>
      <w:pPr>
        <w:pStyle w:val="59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6.4. Опрацювання, узгодження і затверд</w:t>
      </w:r>
      <w:r>
        <w:rPr>
          <w:sz w:val="28"/>
          <w:szCs w:val="28"/>
          <w:lang w:val="uk-UA"/>
        </w:rPr>
        <w:t xml:space="preserve">ження змін до примірних інструкцій   або   прийняття   нових   примірних   інструкцій   за результатами   перегляду   чинних    здійснюються    в    порядку, встановленому для примірних інструкцій,  які розробляються вперше, згідно з п.4.2 цього Положення.</w:t>
      </w:r>
      <w:r/>
    </w:p>
    <w:sectPr>
      <w:headerReference w:type="default" r:id="rId8"/>
      <w:headerReference w:type="first" r:id="rId9"/>
      <w:footerReference w:type="default" r:id="rId10"/>
      <w:footerReference w:type="first" r:id="rId11"/>
      <w:footnotePr/>
      <w:endnotePr/>
      <w:type w:val="nextPage"/>
      <w:pgSz w:w="12240" w:h="15840" w:orient="portrait"/>
      <w:pgMar w:top="1134" w:right="567" w:bottom="1134" w:left="1701" w:header="720" w:footer="720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/>
      <w:r>
        <w:separator/>
      </w:r>
      <w:r/>
    </w:p>
  </w:endnote>
  <w:endnote w:type="continuationSeparator" w:id="0">
    <w:p>
      <w:pPr>
        <w:spacing w:lineRule="auto" w:line="240" w:after="0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 Light">
    <w:panose1 w:val="020F0502020204030204"/>
  </w:font>
  <w:font w:name="Segoe UI">
    <w:panose1 w:val="020B0502040504020204"/>
  </w:font>
  <w:font w:name="Arial">
    <w:panose1 w:val="020B0604020202020204"/>
  </w:font>
  <w:font w:name="Calibri">
    <w:panose1 w:val="020F0502020204030204"/>
  </w:font>
  <w:font w:name="Cambria"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2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2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/>
      <w:r>
        <w:separator/>
      </w:r>
      <w:r/>
    </w:p>
  </w:footnote>
  <w:footnote w:type="continuationSeparator" w:id="0">
    <w:p>
      <w:pPr>
        <w:spacing w:lineRule="auto" w:line="240" w:after="0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0"/>
      <w:jc w:val="center"/>
    </w:pPr>
    <w:fldSimple w:instr="PAGE \* MERGEFORMAT">
      <w:r>
        <w:t xml:space="preserve">1</w:t>
      </w:r>
    </w:fldSimple>
    <w:r/>
    <w:r/>
  </w:p>
  <w:p>
    <w:pPr>
      <w:pStyle w:val="40"/>
    </w:pP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0"/>
    </w:pPr>
    <w:r/>
    <w:r/>
  </w:p>
</w:hdr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bidi="ar-SA" w:eastAsia="zh-C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Heading 1"/>
    <w:basedOn w:val="8"/>
    <w:next w:val="8"/>
    <w:link w:val="12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12">
    <w:name w:val="Heading 1 Char"/>
    <w:basedOn w:val="9"/>
    <w:link w:val="11"/>
    <w:uiPriority w:val="9"/>
    <w:rPr>
      <w:rFonts w:ascii="Arial" w:hAnsi="Arial" w:cs="Arial" w:eastAsia="Arial"/>
      <w:sz w:val="40"/>
      <w:szCs w:val="40"/>
    </w:rPr>
  </w:style>
  <w:style w:type="paragraph" w:styleId="13">
    <w:name w:val="Heading 2"/>
    <w:basedOn w:val="8"/>
    <w:next w:val="8"/>
    <w:link w:val="14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14">
    <w:name w:val="Heading 2 Char"/>
    <w:basedOn w:val="9"/>
    <w:link w:val="13"/>
    <w:uiPriority w:val="9"/>
    <w:rPr>
      <w:rFonts w:ascii="Arial" w:hAnsi="Arial" w:cs="Arial" w:eastAsia="Arial"/>
      <w:sz w:val="34"/>
    </w:rPr>
  </w:style>
  <w:style w:type="paragraph" w:styleId="15">
    <w:name w:val="Heading 3"/>
    <w:basedOn w:val="8"/>
    <w:next w:val="8"/>
    <w:link w:val="16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16">
    <w:name w:val="Heading 3 Char"/>
    <w:basedOn w:val="9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8"/>
    <w:next w:val="8"/>
    <w:link w:val="18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18">
    <w:name w:val="Heading 4 Char"/>
    <w:basedOn w:val="9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8"/>
    <w:next w:val="8"/>
    <w:link w:val="20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20">
    <w:name w:val="Heading 5 Char"/>
    <w:basedOn w:val="9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8"/>
    <w:next w:val="8"/>
    <w:link w:val="22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22">
    <w:name w:val="Heading 6 Char"/>
    <w:basedOn w:val="9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8"/>
    <w:next w:val="8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9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8"/>
    <w:next w:val="8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9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8"/>
    <w:next w:val="8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9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29">
    <w:name w:val="List Paragraph"/>
    <w:basedOn w:val="8"/>
    <w:qFormat/>
    <w:uiPriority w:val="34"/>
    <w:pPr>
      <w:contextualSpacing w:val="true"/>
      <w:ind w:left="720"/>
    </w:pPr>
  </w:style>
  <w:style w:type="paragraph" w:styleId="31">
    <w:name w:val="No Spacing"/>
    <w:qFormat/>
    <w:uiPriority w:val="1"/>
    <w:pPr>
      <w:spacing w:lineRule="auto" w:line="240" w:after="0" w:before="0"/>
    </w:pPr>
  </w:style>
  <w:style w:type="paragraph" w:styleId="32">
    <w:name w:val="Title"/>
    <w:basedOn w:val="8"/>
    <w:next w:val="8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9"/>
    <w:link w:val="32"/>
    <w:uiPriority w:val="10"/>
    <w:rPr>
      <w:sz w:val="48"/>
      <w:szCs w:val="48"/>
    </w:rPr>
  </w:style>
  <w:style w:type="paragraph" w:styleId="34">
    <w:name w:val="Subtitle"/>
    <w:basedOn w:val="8"/>
    <w:next w:val="8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9"/>
    <w:link w:val="34"/>
    <w:uiPriority w:val="11"/>
    <w:rPr>
      <w:sz w:val="24"/>
      <w:szCs w:val="24"/>
    </w:rPr>
  </w:style>
  <w:style w:type="paragraph" w:styleId="36">
    <w:name w:val="Quote"/>
    <w:basedOn w:val="8"/>
    <w:next w:val="8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8"/>
    <w:next w:val="8"/>
    <w:link w:val="39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paragraph" w:styleId="40">
    <w:name w:val="Header"/>
    <w:basedOn w:val="8"/>
    <w:link w:val="41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1">
    <w:name w:val="Header Char"/>
    <w:basedOn w:val="9"/>
    <w:link w:val="40"/>
    <w:uiPriority w:val="99"/>
  </w:style>
  <w:style w:type="paragraph" w:styleId="42">
    <w:name w:val="Footer"/>
    <w:basedOn w:val="8"/>
    <w:link w:val="45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3">
    <w:name w:val="Footer Char"/>
    <w:basedOn w:val="9"/>
    <w:link w:val="42"/>
    <w:uiPriority w:val="99"/>
  </w:style>
  <w:style w:type="paragraph" w:styleId="44">
    <w:name w:val="Caption"/>
    <w:basedOn w:val="8"/>
    <w:next w:val="8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42"/>
    <w:uiPriority w:val="99"/>
  </w:style>
  <w:style w:type="table" w:styleId="46">
    <w:name w:val="Table Grid"/>
    <w:basedOn w:val="30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">
    <w:name w:val="Table Grid Light"/>
    <w:basedOn w:val="30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30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30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">
    <w:name w:val="Grid Table 1 Light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2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2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3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">
    <w:name w:val="Grid Table 3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">
    <w:name w:val="Grid Table 4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">
    <w:name w:val="Grid Table 4 - Accent 1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6">
    <w:name w:val="Grid Table 4 - Accent 2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7">
    <w:name w:val="Grid Table 4 - Accent 3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8">
    <w:name w:val="Grid Table 4 - Accent 4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9">
    <w:name w:val="Grid Table 4 - Accent 5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0">
    <w:name w:val="Grid Table 4 - Accent 6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1">
    <w:name w:val="Grid Table 5 Dark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text1" w:themeTint="40"/>
    </w:tblPr>
    <w:tblStylePr w:type="band1Horz">
      <w:tcPr>
        <w:shd w:val="clear" w:color="FFFFFF" w:themeColor="text1" w:themeTint="75"/>
      </w:tcPr>
    </w:tblStylePr>
    <w:tblStylePr w:type="band1Vert">
      <w:tcPr>
        <w:shd w:val="clear" w:color="FFFFFF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top w:val="single" w:color="000000" w:sz="4" w:space="0" w:themeColor="light1"/>
        </w:tcBorders>
      </w:tcPr>
    </w:tblStylePr>
  </w:style>
  <w:style w:type="table" w:styleId="82">
    <w:name w:val="Grid Table 5 Dark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1" w:themeTint="34"/>
    </w:tblPr>
    <w:tblStylePr w:type="band1Horz">
      <w:tcPr>
        <w:shd w:val="clear" w:color="FFFFFF" w:themeColor="accent1" w:themeTint="75"/>
      </w:tcPr>
    </w:tblStylePr>
    <w:tblStylePr w:type="band1Vert">
      <w:tcPr>
        <w:shd w:val="clear" w:color="FFFFFF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/>
        <w:tcBorders>
          <w:top w:val="single" w:color="000000" w:sz="4" w:space="0" w:themeColor="light1"/>
        </w:tcBorders>
      </w:tcPr>
    </w:tblStylePr>
  </w:style>
  <w:style w:type="table" w:styleId="83">
    <w:name w:val="Grid Table 5 Dark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2" w:themeTint="32"/>
    </w:tblPr>
    <w:tblStylePr w:type="band1Horz">
      <w:tcPr>
        <w:shd w:val="clear" w:color="FFFFFF" w:themeColor="accent2" w:themeTint="75"/>
      </w:tcPr>
    </w:tblStylePr>
    <w:tblStylePr w:type="band1Vert">
      <w:tcPr>
        <w:shd w:val="clear" w:color="FFFFFF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3" w:themeTint="34"/>
    </w:tblPr>
    <w:tblStylePr w:type="band1Horz">
      <w:tcPr>
        <w:shd w:val="clear" w:color="FFFFFF" w:themeColor="accent3" w:themeTint="75"/>
      </w:tcPr>
    </w:tblStylePr>
    <w:tblStylePr w:type="band1Vert">
      <w:tcPr>
        <w:shd w:val="clear" w:color="FFFFFF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/>
        <w:tcBorders>
          <w:top w:val="single" w:color="000000" w:sz="4" w:space="0" w:themeColor="light1"/>
        </w:tcBorders>
      </w:tcPr>
    </w:tblStylePr>
  </w:style>
  <w:style w:type="table" w:styleId="85">
    <w:name w:val="Grid Table 5 Dark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4" w:themeTint="34"/>
    </w:tblPr>
    <w:tblStylePr w:type="band1Horz">
      <w:tcPr>
        <w:shd w:val="clear" w:color="FFFFFF" w:themeColor="accent4" w:themeTint="75"/>
      </w:tcPr>
    </w:tblStylePr>
    <w:tblStylePr w:type="band1Vert">
      <w:tcPr>
        <w:shd w:val="clear" w:color="FFFFFF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/>
        <w:tcBorders>
          <w:top w:val="single" w:color="000000" w:sz="4" w:space="0" w:themeColor="light1"/>
        </w:tcBorders>
      </w:tcPr>
    </w:tblStylePr>
  </w:style>
  <w:style w:type="table" w:styleId="86">
    <w:name w:val="Grid Table 5 Dark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5" w:themeTint="34"/>
    </w:tblPr>
    <w:tblStylePr w:type="band1Horz">
      <w:tcPr>
        <w:shd w:val="clear" w:color="FFFFFF" w:themeColor="accent5" w:themeTint="75"/>
      </w:tcPr>
    </w:tblStylePr>
    <w:tblStylePr w:type="band1Vert">
      <w:tcPr>
        <w:shd w:val="clear" w:color="FFFFFF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top w:val="single" w:color="000000" w:sz="4" w:space="0" w:themeColor="light1"/>
        </w:tcBorders>
      </w:tcPr>
    </w:tblStylePr>
  </w:style>
  <w:style w:type="table" w:styleId="87">
    <w:name w:val="Grid Table 5 Dark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6" w:themeTint="34"/>
    </w:tblPr>
    <w:tblStylePr w:type="band1Horz">
      <w:tcPr>
        <w:shd w:val="clear" w:color="FFFFFF" w:themeColor="accent6" w:themeTint="75"/>
      </w:tcPr>
    </w:tblStylePr>
    <w:tblStylePr w:type="band1Vert">
      <w:tcPr>
        <w:shd w:val="clear" w:color="FFFFFF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top w:val="single" w:color="000000" w:sz="4" w:space="0" w:themeColor="light1"/>
        </w:tcBorders>
      </w:tcPr>
    </w:tblStylePr>
  </w:style>
  <w:style w:type="table" w:styleId="88">
    <w:name w:val="Grid Table 6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/>
      </w:tcPr>
    </w:tblStylePr>
    <w:tblStylePr w:type="band1Vert">
      <w:tcPr>
        <w:shd w:val="clear" w:color="FFFFFF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6">
    <w:name w:val="Grid Table 7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7">
    <w:name w:val="Grid Table 7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8">
    <w:name w:val="Grid Table 7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9">
    <w:name w:val="Grid Table 7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100">
    <w:name w:val="Grid Table 7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101">
    <w:name w:val="Grid Table 7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2">
    <w:name w:val="List Table 1 Light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1 Light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8">
    <w:name w:val="List Table 1 Light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9">
    <w:name w:val="List Table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10">
    <w:name w:val="List Table 2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11">
    <w:name w:val="List Table 2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2">
    <w:name w:val="List Table 2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3">
    <w:name w:val="List Table 2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4">
    <w:name w:val="List Table 2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5">
    <w:name w:val="List Table 2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6">
    <w:name w:val="List Table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Color="text1" w:themeTint="80"/>
    </w:tblPr>
    <w:tblStylePr w:type="band1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Color="accent1"/>
    </w:tblPr>
    <w:tblStylePr w:type="band1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Color="accent2" w:themeTint="97"/>
    </w:tblPr>
    <w:tblStylePr w:type="band1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Color="accent3" w:themeTint="98"/>
    </w:tblPr>
    <w:tblStylePr w:type="band1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Color="accent4" w:themeTint="9A"/>
    </w:tblPr>
    <w:tblStylePr w:type="band1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Color="accent5" w:themeTint="9A"/>
    </w:tblPr>
    <w:tblStylePr w:type="band1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Color="accent6" w:themeTint="98"/>
    </w:tblPr>
    <w:tblStylePr w:type="band1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8">
    <w:name w:val="List Table 6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9">
    <w:name w:val="List Table 6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40">
    <w:name w:val="List Table 6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41">
    <w:name w:val="List Table 6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2">
    <w:name w:val="List Table 6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3">
    <w:name w:val="List Table 6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4">
    <w:name w:val="List Table 7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152">
    <w:name w:val="Lined - Accent 1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153">
    <w:name w:val="Lined - Accent 2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154">
    <w:name w:val="Lined - Accent 3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155">
    <w:name w:val="Lined - Accent 4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156">
    <w:name w:val="Lined - Accent 5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157">
    <w:name w:val="Lined - Accent 6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158">
    <w:name w:val="Bordered &amp; Lined - Accent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159">
    <w:name w:val="Bordered &amp; Lined - Accent 1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160">
    <w:name w:val="Bordered &amp; Lined - Accent 2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161">
    <w:name w:val="Bordered &amp; Lined - Accent 3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162">
    <w:name w:val="Bordered &amp; Lined - Accent 4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163">
    <w:name w:val="Bordered &amp; Lined - Accent 5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164">
    <w:name w:val="Bordered &amp; Lined - Accent 6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165">
    <w:name w:val="Bordered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6">
    <w:name w:val="Bordered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7">
    <w:name w:val="Bordered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8">
    <w:name w:val="Bordered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9">
    <w:name w:val="Bordered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70">
    <w:name w:val="Bordered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71">
    <w:name w:val="Bordered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172">
    <w:name w:val="Hyperlink"/>
    <w:uiPriority w:val="99"/>
    <w:unhideWhenUsed/>
    <w:rPr>
      <w:color w:val="0000FF" w:themeColor="hyperlink"/>
      <w:u w:val="single"/>
    </w:rPr>
  </w:style>
  <w:style w:type="paragraph" w:styleId="173">
    <w:name w:val="footnote text"/>
    <w:basedOn w:val="8"/>
    <w:link w:val="174"/>
    <w:uiPriority w:val="99"/>
    <w:semiHidden/>
    <w:unhideWhenUsed/>
    <w:rPr>
      <w:sz w:val="18"/>
    </w:rPr>
    <w:pPr>
      <w:spacing w:lineRule="auto" w:line="240" w:after="40"/>
    </w:p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9"/>
    <w:uiPriority w:val="99"/>
    <w:unhideWhenUsed/>
    <w:rPr>
      <w:vertAlign w:val="superscript"/>
    </w:rPr>
  </w:style>
  <w:style w:type="paragraph" w:styleId="176">
    <w:name w:val="endnote text"/>
    <w:basedOn w:val="8"/>
    <w:link w:val="177"/>
    <w:uiPriority w:val="99"/>
    <w:semiHidden/>
    <w:unhideWhenUsed/>
    <w:rPr>
      <w:sz w:val="20"/>
    </w:rPr>
    <w:pPr>
      <w:spacing w:lineRule="auto" w:line="240" w:after="0"/>
    </w:p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9"/>
    <w:uiPriority w:val="99"/>
    <w:semiHidden/>
    <w:unhideWhenUsed/>
    <w:rPr>
      <w:vertAlign w:val="superscript"/>
    </w:rPr>
  </w:style>
  <w:style w:type="paragraph" w:styleId="179">
    <w:name w:val="toc 1"/>
    <w:basedOn w:val="8"/>
    <w:next w:val="8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8"/>
    <w:next w:val="8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8"/>
    <w:next w:val="8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8"/>
    <w:next w:val="8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8"/>
    <w:next w:val="8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8"/>
    <w:next w:val="8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8"/>
    <w:next w:val="8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8"/>
    <w:next w:val="8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8"/>
    <w:next w:val="8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8"/>
    <w:next w:val="8"/>
    <w:uiPriority w:val="99"/>
    <w:unhideWhenUsed/>
    <w:pPr>
      <w:spacing w:after="0" w:afterAutospacing="0"/>
    </w:pPr>
  </w:style>
  <w:style w:type="paragraph" w:styleId="597">
    <w:name w:val="Обычный"/>
    <w:next w:val="597"/>
    <w:link w:val="597"/>
    <w:rPr>
      <w:sz w:val="24"/>
      <w:szCs w:val="24"/>
      <w:lang w:val="ru-RU" w:bidi="ar-SA" w:eastAsia="ru-RU"/>
    </w:rPr>
  </w:style>
  <w:style w:type="character" w:styleId="598">
    <w:name w:val="Основной шрифт абзаца"/>
    <w:next w:val="598"/>
    <w:link w:val="597"/>
    <w:semiHidden/>
  </w:style>
  <w:style w:type="table" w:styleId="599">
    <w:name w:val="Обычная таблица"/>
    <w:next w:val="599"/>
    <w:link w:val="597"/>
    <w:semiHidden/>
    <w:tblPr/>
  </w:style>
  <w:style w:type="numbering" w:styleId="600">
    <w:name w:val="Нет списка"/>
    <w:next w:val="600"/>
    <w:link w:val="597"/>
    <w:semiHidden/>
  </w:style>
  <w:style w:type="paragraph" w:styleId="601">
    <w:name w:val="Текст выноски"/>
    <w:basedOn w:val="597"/>
    <w:next w:val="601"/>
    <w:link w:val="602"/>
    <w:semiHidden/>
    <w:rPr>
      <w:rFonts w:ascii="Segoe UI" w:hAnsi="Segoe UI"/>
      <w:sz w:val="18"/>
      <w:szCs w:val="18"/>
      <w:lang w:val="en-US" w:eastAsia="en-US"/>
    </w:rPr>
  </w:style>
  <w:style w:type="character" w:styleId="602">
    <w:name w:val="Текст выноски Знак"/>
    <w:next w:val="602"/>
    <w:link w:val="601"/>
    <w:semiHidden/>
    <w:rPr>
      <w:rFonts w:ascii="Segoe UI" w:hAnsi="Segoe UI"/>
      <w:sz w:val="18"/>
      <w:szCs w:val="18"/>
    </w:rPr>
  </w:style>
  <w:style w:type="paragraph" w:styleId="603">
    <w:name w:val="UserStyle_1"/>
    <w:basedOn w:val="597"/>
    <w:next w:val="605"/>
    <w:link w:val="604"/>
    <w:rPr>
      <w:b/>
      <w:bCs/>
      <w:color w:val="000000"/>
      <w:spacing w:val="-16"/>
      <w:position w:val="1"/>
      <w:sz w:val="46"/>
      <w:szCs w:val="46"/>
      <w:lang w:val="uk-UA" w:eastAsia="en-US"/>
    </w:rPr>
    <w:pPr>
      <w:ind w:left="19" w:firstLine="832"/>
      <w:jc w:val="center"/>
      <w:keepNext/>
      <w:spacing w:lineRule="exact" w:line="408"/>
      <w:shd w:val="clear" w:fill="FFFFFF" w:color="auto"/>
    </w:pPr>
  </w:style>
  <w:style w:type="character" w:styleId="604">
    <w:name w:val="Название Знак"/>
    <w:next w:val="604"/>
    <w:link w:val="603"/>
    <w:rPr>
      <w:b/>
      <w:bCs/>
      <w:color w:val="000000"/>
      <w:spacing w:val="-16"/>
      <w:position w:val="1"/>
      <w:sz w:val="24"/>
      <w:szCs w:val="46"/>
      <w:shd w:val="clear" w:fill="FFFFFF" w:color="auto"/>
      <w:lang w:val="uk-UA"/>
    </w:rPr>
  </w:style>
  <w:style w:type="paragraph" w:styleId="605">
    <w:name w:val="Название"/>
    <w:basedOn w:val="597"/>
    <w:next w:val="597"/>
    <w:link w:val="606"/>
    <w:rPr>
      <w:rFonts w:ascii="Calibri Light" w:hAnsi="Calibri Light"/>
      <w:b/>
      <w:bCs/>
      <w:sz w:val="32"/>
      <w:szCs w:val="32"/>
    </w:rPr>
    <w:pPr>
      <w:jc w:val="center"/>
      <w:spacing w:after="60" w:before="240"/>
      <w:outlineLvl w:val="0"/>
    </w:pPr>
  </w:style>
  <w:style w:type="character" w:styleId="606">
    <w:name w:val="Название Знак1"/>
    <w:next w:val="606"/>
    <w:link w:val="605"/>
    <w:rPr>
      <w:rFonts w:ascii="Calibri Light" w:hAnsi="Calibri Light" w:eastAsia="Times New Roman"/>
      <w:b/>
      <w:bCs/>
      <w:sz w:val="32"/>
      <w:szCs w:val="32"/>
      <w:lang w:val="ru-RU" w:eastAsia="ru-RU"/>
    </w:rPr>
  </w:style>
  <w:style w:type="paragraph" w:styleId="607">
    <w:name w:val="Подзаголовок"/>
    <w:basedOn w:val="597"/>
    <w:next w:val="607"/>
    <w:link w:val="597"/>
    <w:rPr>
      <w:sz w:val="32"/>
      <w:lang w:val="uk-UA"/>
    </w:rPr>
    <w:pPr>
      <w:jc w:val="center"/>
    </w:pPr>
  </w:style>
  <w:style w:type="character" w:styleId="1304" w:default="1">
    <w:name w:val="Default Paragraph Font"/>
    <w:uiPriority w:val="1"/>
    <w:semiHidden/>
    <w:unhideWhenUsed/>
  </w:style>
  <w:style w:type="numbering" w:styleId="1305" w:default="1">
    <w:name w:val="No List"/>
    <w:uiPriority w:val="99"/>
    <w:semiHidden/>
    <w:unhideWhenUsed/>
  </w:style>
  <w:style w:type="paragraph" w:styleId="1306" w:default="1">
    <w:name w:val="Normal"/>
    <w:qFormat/>
  </w:style>
  <w:style w:type="table" w:styleId="1307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ONLYOFFICE/6.3.1.32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Жураковська Альона Володимирівна</cp:lastModifiedBy>
  <cp:revision>1</cp:revision>
  <dcterms:modified xsi:type="dcterms:W3CDTF">2021-12-05T12:35:40Z</dcterms:modified>
</cp:coreProperties>
</file>