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6"/>
        <w:rPr>
          <w:i w:val="false"/>
          <w:sz w:val="28"/>
          <w:szCs w:val="28"/>
        </w:rPr>
      </w:pPr>
      <w:r>
        <w:rPr>
          <w:i w:val="false"/>
          <w:sz w:val="28"/>
          <w:szCs w:val="28"/>
        </w:rPr>
        <w:t xml:space="preserve">МЕНСЬКА</w:t>
      </w:r>
      <w:r>
        <w:rPr>
          <w:i w:val="false"/>
          <w:sz w:val="28"/>
          <w:szCs w:val="28"/>
        </w:rPr>
        <w:t xml:space="preserve"> МІСЬКА РАДА</w:t>
      </w:r>
      <w:r/>
    </w:p>
    <w:p>
      <w:pPr>
        <w:pStyle w:val="62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62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4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ЗАТВЕРДЖЕНО</w:t>
      </w:r>
      <w:r/>
    </w:p>
    <w:p>
      <w:pPr>
        <w:pStyle w:val="624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Розпорядженням міського голови</w:t>
      </w:r>
      <w:r/>
    </w:p>
    <w:p>
      <w:pPr>
        <w:pStyle w:val="625"/>
        <w:ind w:left="5670" w:firstLine="0"/>
        <w:jc w:val="left"/>
        <w:rPr>
          <w:b w:val="false"/>
          <w:color w:val="000000"/>
          <w:sz w:val="28"/>
          <w:szCs w:val="28"/>
          <w:lang w:val="ru-RU"/>
        </w:rPr>
      </w:pPr>
      <w:r>
        <w:rPr>
          <w:b w:val="false"/>
          <w:color w:val="000000"/>
          <w:sz w:val="28"/>
          <w:szCs w:val="28"/>
          <w:lang w:val="ru-RU"/>
        </w:rPr>
        <w:t xml:space="preserve">29 листопада 2021 року № 43</w:t>
      </w:r>
      <w:r>
        <w:rPr>
          <w:b w:val="false"/>
          <w:color w:val="000000"/>
          <w:sz w:val="28"/>
          <w:szCs w:val="28"/>
          <w:lang w:val="ru-RU"/>
        </w:rPr>
        <w:t xml:space="preserve">5</w:t>
      </w:r>
      <w:r>
        <w:rPr>
          <w:b w:val="false"/>
          <w:color w:val="000000"/>
          <w:sz w:val="28"/>
          <w:szCs w:val="28"/>
          <w:lang w:val="ru-RU"/>
        </w:rPr>
      </w:r>
      <w:r/>
    </w:p>
    <w:p>
      <w:pPr>
        <w:pStyle w:val="625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/>
    </w:p>
    <w:p>
      <w:pPr>
        <w:pStyle w:val="6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ПОЛОЖЕННЯ</w:t>
      </w:r>
      <w:r/>
    </w:p>
    <w:p>
      <w:pPr>
        <w:pStyle w:val="6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</w:t>
      </w:r>
      <w:r>
        <w:rPr>
          <w:rFonts w:ascii="Times New Roman" w:hAnsi="Times New Roman"/>
          <w:b/>
          <w:sz w:val="28"/>
          <w:szCs w:val="28"/>
        </w:rPr>
        <w:t xml:space="preserve">комісію з питань охорони праці</w:t>
      </w: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62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637"/>
        <w:jc w:val="center"/>
        <w:rPr>
          <w:rFonts w:ascii="Times New Roman" w:hAnsi="Times New Roman"/>
          <w:b w:val="false"/>
          <w:caps/>
          <w:sz w:val="28"/>
          <w:szCs w:val="28"/>
          <w:lang w:val="uk-UA"/>
        </w:rPr>
      </w:pPr>
      <w:r>
        <w:rPr>
          <w:rFonts w:ascii="Times New Roman" w:hAnsi="Times New Roman"/>
          <w:b w:val="false"/>
          <w:caps/>
          <w:sz w:val="28"/>
          <w:szCs w:val="28"/>
          <w:lang w:val="uk-UA"/>
        </w:rPr>
        <w:t xml:space="preserve">1. Загальні положення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оложення про комісію з питань охорони праці підприємства (далі — положення) поширюється на підприємства, установи, організації (далі — підприємства) будь-якої форми власності та виду діяльності.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1.2. 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оложення визначає основні завдання, права та організацію діяльності Комісії з питань охорони праці підприємства (далі — Комісія), яка може бути створена за рішенням трудового колективу відповідно до статті 16 Закону України «Про охорону праці».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1.3. Комісія є постійно діючим консультативно-дорадчим органом. Метою створення Комісії на підприємстві є забезпечення пропорційної участі працівників у вирішенні будь-яких питань безпеки, гігієни праці та виробничого середовища.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1.4. Рішення про доцільність створення Комісії, її кількісний та персональний склад приймається трудовим колективом на загальних зборах (конференції) за поданням роботодавця і професійної спілки.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 підставі цього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оложення за участі представників кожної сторони розробляється Положення про комісію з питань охорони праці підприємства, яке затверджується ухвалою загальних зборів (конференції) трудового колективу.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1.5. Комісія формується на засадах рівного представництва осіб від роботодавця (спеціалісти з безпеки, гігієни праці та інших служб підприємства) та професійної спілки, а у разі її відсутності — уповноважених найманими працівниками осіб.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1.6. Комісія у своїй діяльності керується Кодексом законів про працю Укра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їни, Законами України «Про охорону праці», «Про загальнообов’язкове державне соціальне страхування від нещасного випадку на виробництві та професійного захворювання, які спричинили втрату працездатності», нормативно-правовими актами з охорони праці та цим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оложенням.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1.7. Комісія діє на принципах взаємної поваги, довіри, рівноправності, відповідальності сторін за виконання ухвалених рішень і досягнутих домовленостей та обов’язкового додержання вимог законів та інших нормативно-правових актів з охорони праці.</w:t>
      </w:r>
      <w:r/>
    </w:p>
    <w:p>
      <w:pPr>
        <w:pStyle w:val="638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r>
      <w:r/>
    </w:p>
    <w:p>
      <w:pPr>
        <w:pStyle w:val="637"/>
        <w:jc w:val="center"/>
        <w:rPr>
          <w:rFonts w:ascii="Times New Roman" w:hAnsi="Times New Roman"/>
          <w:b w:val="false"/>
          <w:caps/>
          <w:sz w:val="28"/>
          <w:szCs w:val="28"/>
          <w:lang w:val="uk-UA"/>
        </w:rPr>
      </w:pPr>
      <w:r>
        <w:rPr>
          <w:rFonts w:ascii="Times New Roman" w:hAnsi="Times New Roman"/>
          <w:b w:val="false"/>
          <w:caps/>
          <w:sz w:val="28"/>
          <w:szCs w:val="28"/>
          <w:lang w:val="uk-UA"/>
        </w:rPr>
        <w:t xml:space="preserve">2. Завдання і права Комісії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2.1. Основними завданнями Комісії є: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захист законних прав та інтересів працівників у галузі охорони праці;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підготовка на ос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нові аналізу стану безпеки та умов праці на виробництві рекомендацій роботодавцю та працівникам щодо профілактики виробничого травматизму та професійних захворювань, практичної реалізації принципів державної політики в галузі охорони праці на підприємстві;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узгодження через двосторонні консультації позицій сторін у вирішенні практичних питань у галузі охорони праці для забезпечення поєднання інтересів роботодавця та трудового колективу, кожного працівника, запобігання конфліктним ситуаціям на підприємстві;</w:t>
      </w:r>
      <w:r/>
    </w:p>
    <w:p>
      <w:pPr>
        <w:pStyle w:val="638"/>
        <w:ind w:left="1134" w:right="-1132" w:firstLine="567"/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розро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бка пропозицій про включення до колективного договору найбільш важливих питань з охорони праці, визначення достатніх асигнувань на встановлення нормативів і підвищення існуючого рівня охорони праці та ефективний контроль за цільовим витрачанням цих коштів.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2.2. Комісія має право: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звертатись до роботодавця, трудового колективу, профспілкового комітету або іншого уповноваженого на представництво трудовим колективом органу, відповідних служб підприємства з пропозиціями щодо регулювання відносин у сфері охорони праці;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створювати робочі групи з числа членів Комісії для розробки узгоджених рішень з питань охорони праці із зал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ученням спеціалістів різних служб підприємства, фахівців експертних організацій, служб охорони праці органів виконавчої влади, страхових експертів, технічних інспекторів праці профспілок (на договірних засадах між роботодавцем та відповідною організацією);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одержувати від працівників, керівників структурних підрозділів і служб підприємства та профспілкового комітету інформацію та мати доступ до документації, що є необхідною для виконання зав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дань, передбачених цим 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оложенням;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здійснювати контроль за дотриманням вимог законодавства з охорони праці безпосередньо на робочих місцях, забезпеченням працівн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иків засобами колективного та індивідуального захисту, мийними та знешкоджувальними засобами, лікувально-профілактичним харчуванням, молоком або рівноцінними харчовими продуктами, газованою солоною водою та використанням санітарно-побутових приміщень тощо;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ознайомлюватися з будь-якими матеріалами з охорони праці, аналізувати стан умов і безпеки праці на підприємстві, виконання відповідних програм і колективних договорів;</w:t>
      </w:r>
      <w:r/>
    </w:p>
    <w:p>
      <w:pPr>
        <w:pStyle w:val="638"/>
        <w:ind w:left="1134" w:right="-11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вільного доступу на всі дільниці підприємства і обговорення з працівниками питань охорони праці.</w:t>
      </w:r>
      <w:r/>
    </w:p>
    <w:p>
      <w:pPr>
        <w:pStyle w:val="638"/>
        <w:ind w:left="1134" w:right="-1132" w:firstLine="567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r>
      <w:r/>
    </w:p>
    <w:p>
      <w:pPr>
        <w:pStyle w:val="637"/>
        <w:jc w:val="center"/>
        <w:rPr>
          <w:rFonts w:ascii="Times New Roman" w:hAnsi="Times New Roman"/>
          <w:b w:val="false"/>
          <w:caps/>
          <w:sz w:val="28"/>
          <w:szCs w:val="28"/>
          <w:lang w:val="uk-UA"/>
        </w:rPr>
      </w:pPr>
      <w:r>
        <w:rPr>
          <w:rFonts w:ascii="Times New Roman" w:hAnsi="Times New Roman"/>
          <w:b w:val="false"/>
          <w:caps/>
          <w:sz w:val="28"/>
          <w:szCs w:val="28"/>
          <w:lang w:val="uk-UA"/>
        </w:rPr>
      </w:r>
      <w:r/>
    </w:p>
    <w:p>
      <w:pPr>
        <w:pStyle w:val="637"/>
        <w:jc w:val="center"/>
        <w:rPr>
          <w:rFonts w:ascii="Times New Roman" w:hAnsi="Times New Roman"/>
          <w:b w:val="false"/>
          <w:caps/>
          <w:sz w:val="28"/>
          <w:szCs w:val="28"/>
          <w:lang w:val="uk-UA"/>
        </w:rPr>
      </w:pPr>
      <w:r>
        <w:rPr>
          <w:rFonts w:ascii="Times New Roman" w:hAnsi="Times New Roman"/>
          <w:b w:val="false"/>
          <w:caps/>
          <w:sz w:val="28"/>
          <w:szCs w:val="28"/>
          <w:lang w:val="uk-UA"/>
        </w:rPr>
      </w:r>
      <w:r/>
    </w:p>
    <w:p>
      <w:pPr>
        <w:pStyle w:val="637"/>
        <w:jc w:val="center"/>
        <w:rPr>
          <w:rFonts w:ascii="Times New Roman" w:hAnsi="Times New Roman"/>
          <w:b w:val="false"/>
          <w:caps/>
          <w:sz w:val="28"/>
          <w:szCs w:val="28"/>
          <w:lang w:val="uk-UA"/>
        </w:rPr>
      </w:pPr>
      <w:r>
        <w:rPr>
          <w:rFonts w:ascii="Times New Roman" w:hAnsi="Times New Roman"/>
          <w:b w:val="false"/>
          <w:caps/>
          <w:sz w:val="28"/>
          <w:szCs w:val="28"/>
          <w:lang w:val="uk-UA"/>
        </w:rPr>
        <w:t xml:space="preserve">3. Організація роботи Комісії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3.1. Комісію очолює голова, який обирається загальними зборами (конференцією) трудового колективу. На засіданні Комісії обирається заступник голови та секретар Комісії.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Не допускається обирати головою Комісії роботодавця.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 посаду секретаря може бути обраний працівник служби охорони праці.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3.2. Члени Комісії виконують свої обов’язки на громадських засадах. У разі залучення до окремих перевірок вони можуть увільнятись від основної роботи на передбачений колективним договором строк із збереженням за ними середнього заробітку.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3.3. Комісія здійснює свою діяльність на основі планів, що розробляються на певний період (квартал, півріччя, рік) і затверджуються головою Комісії.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3.4. Комісія проводить засідання в міру необхідності, але не рідше одного разу на квартал.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3.5. Засідання Комісії вважається правомочним, якщо на ньому присутні не менше половини її членів.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Якщо під час голосування кількість голосів «за» та «проти» однакова, голова Комісії має право вирішального голосу.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3.6. Рішення Комісії оформлюється протоколом і має рекомендаційний характер.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випадку незгоди роботодавця з рішенням Комісії він повинен надати протягом 5 днів з дня одержання зазначеного рішення письмове аргументоване пояснення.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3.7. Комісія раз на рік звітує про виконану роботу на загальних зборах (конференції) трудового колективу.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3.8. Загальні збори (конференція) трудового колективу мають право вносити зміни до складу Комісії;</w:t>
      </w:r>
      <w:r/>
    </w:p>
    <w:p>
      <w:pPr>
        <w:pStyle w:val="638"/>
        <w:ind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розпустити Комісію у випадку визнання її діяльності незадовільною та провести нові вибори.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9" w:h="16834" w:orient="portrait"/>
      <w:pgMar w:top="1134" w:right="567" w:bottom="1134" w:left="1701" w:header="720" w:footer="720" w:gutter="0"/>
      <w:cols w:num="1" w:sep="0" w:space="6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309020205020404"/>
  </w:font>
  <w:font w:name="Segoe UI">
    <w:panose1 w:val="020B0502040504020204"/>
  </w:font>
  <w:font w:name="Wingdings">
    <w:panose1 w:val="05010000000000000000"/>
  </w:font>
  <w:font w:name="pragmaticac">
    <w:panose1 w:val="020704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*"/>
      <w:lvlJc w:val="left"/>
      <w:pPr>
        <w:pStyle w:val="624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1440" w:hanging="360"/>
        <w:tabs>
          <w:tab w:val="num" w:pos="14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2160" w:hanging="360"/>
        <w:tabs>
          <w:tab w:val="num" w:pos="216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880" w:hanging="360"/>
        <w:tabs>
          <w:tab w:val="num" w:pos="28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600" w:hanging="360"/>
        <w:tabs>
          <w:tab w:val="num" w:pos="36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20" w:hanging="360"/>
        <w:tabs>
          <w:tab w:val="num" w:pos="43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40" w:hanging="360"/>
        <w:tabs>
          <w:tab w:val="num" w:pos="50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60" w:hanging="360"/>
        <w:tabs>
          <w:tab w:val="num" w:pos="57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80" w:hanging="360"/>
        <w:tabs>
          <w:tab w:val="num" w:pos="64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200" w:hanging="360"/>
        <w:tabs>
          <w:tab w:val="num" w:pos="720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1308" w:hanging="1308"/>
        <w:tabs>
          <w:tab w:val="num" w:pos="1308" w:leader="none"/>
        </w:tabs>
      </w:pPr>
    </w:lvl>
    <w:lvl w:ilvl="1">
      <w:start w:val="8"/>
      <w:numFmt w:val="decimal"/>
      <w:isLgl w:val="false"/>
      <w:suff w:val="tab"/>
      <w:lvlText w:val="%1.%2."/>
      <w:lvlJc w:val="left"/>
      <w:pPr>
        <w:pStyle w:val="624"/>
        <w:ind w:left="2159" w:hanging="1308"/>
        <w:tabs>
          <w:tab w:val="num" w:pos="2159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3010" w:hanging="1308"/>
        <w:tabs>
          <w:tab w:val="num" w:pos="301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861" w:hanging="1308"/>
        <w:tabs>
          <w:tab w:val="num" w:pos="3861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712" w:hanging="1308"/>
        <w:tabs>
          <w:tab w:val="num" w:pos="4712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563" w:hanging="1308"/>
        <w:tabs>
          <w:tab w:val="num" w:pos="5563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24"/>
        <w:ind w:left="588" w:hanging="588"/>
        <w:tabs>
          <w:tab w:val="num" w:pos="588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pStyle w:val="624"/>
        <w:ind w:left="1439" w:hanging="588"/>
        <w:tabs>
          <w:tab w:val="num" w:pos="1439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422" w:hanging="720"/>
        <w:tabs>
          <w:tab w:val="num" w:pos="2422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273" w:hanging="720"/>
        <w:tabs>
          <w:tab w:val="num" w:pos="3273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484" w:hanging="1080"/>
        <w:tabs>
          <w:tab w:val="num" w:pos="4484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335" w:hanging="1080"/>
        <w:tabs>
          <w:tab w:val="num" w:pos="5335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360" w:hanging="360"/>
        <w:tabs>
          <w:tab w:val="num" w:pos="360" w:leader="none"/>
        </w:tabs>
      </w:pPr>
    </w:lvl>
    <w:lvl w:ilvl="1">
      <w:start w:val="5"/>
      <w:numFmt w:val="decimal"/>
      <w:isLgl w:val="false"/>
      <w:suff w:val="tab"/>
      <w:lvlText w:val="%1.%2."/>
      <w:lvlJc w:val="left"/>
      <w:pPr>
        <w:pStyle w:val="624"/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160" w:hanging="72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2880" w:hanging="72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3960" w:hanging="1080"/>
        <w:tabs>
          <w:tab w:val="num" w:pos="39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4680" w:hanging="10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5760" w:hanging="1440"/>
        <w:tabs>
          <w:tab w:val="num" w:pos="576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6480" w:hanging="1440"/>
        <w:tabs>
          <w:tab w:val="num" w:pos="648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7560" w:hanging="1800"/>
        <w:tabs>
          <w:tab w:val="num" w:pos="756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1428" w:hanging="360"/>
        <w:tabs>
          <w:tab w:val="num" w:pos="14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2148" w:hanging="360"/>
        <w:tabs>
          <w:tab w:val="num" w:pos="2148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868" w:hanging="360"/>
        <w:tabs>
          <w:tab w:val="num" w:pos="286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588" w:hanging="360"/>
        <w:tabs>
          <w:tab w:val="num" w:pos="358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08" w:hanging="360"/>
        <w:tabs>
          <w:tab w:val="num" w:pos="4308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28" w:hanging="360"/>
        <w:tabs>
          <w:tab w:val="num" w:pos="502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48" w:hanging="360"/>
        <w:tabs>
          <w:tab w:val="num" w:pos="574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68" w:hanging="360"/>
        <w:tabs>
          <w:tab w:val="num" w:pos="6468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188" w:hanging="360"/>
        <w:tabs>
          <w:tab w:val="num" w:pos="7188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624"/>
        <w:ind w:left="372" w:hanging="372"/>
        <w:tabs>
          <w:tab w:val="num" w:pos="372" w:leader="none"/>
        </w:tabs>
      </w:pPr>
      <w:rPr>
        <w:rFonts w:ascii="Times New Roman" w:hAnsi="Times New Roman"/>
        <w:color w:val="000000"/>
        <w:sz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624"/>
        <w:ind w:left="1223" w:hanging="372"/>
        <w:tabs>
          <w:tab w:val="num" w:pos="1223" w:leader="none"/>
        </w:tabs>
      </w:pPr>
      <w:rPr>
        <w:rFonts w:ascii="Times New Roman" w:hAnsi="Times New Roman"/>
        <w:color w:val="000000"/>
        <w:sz w:val="24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422" w:hanging="720"/>
        <w:tabs>
          <w:tab w:val="num" w:pos="2422" w:leader="none"/>
        </w:tabs>
      </w:pPr>
      <w:rPr>
        <w:rFonts w:ascii="Times New Roman" w:hAnsi="Times New Roman"/>
        <w:color w:val="000000"/>
        <w:sz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3273" w:hanging="720"/>
        <w:tabs>
          <w:tab w:val="num" w:pos="3273" w:leader="none"/>
        </w:tabs>
      </w:pPr>
      <w:rPr>
        <w:rFonts w:ascii="Times New Roman" w:hAnsi="Times New Roman"/>
        <w:color w:val="000000"/>
        <w:sz w:val="24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4484" w:hanging="1080"/>
        <w:tabs>
          <w:tab w:val="num" w:pos="4484" w:leader="none"/>
        </w:tabs>
      </w:pPr>
      <w:rPr>
        <w:rFonts w:ascii="Times New Roman" w:hAnsi="Times New Roman"/>
        <w:color w:val="000000"/>
        <w:sz w:val="24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5335" w:hanging="1080"/>
        <w:tabs>
          <w:tab w:val="num" w:pos="5335" w:leader="none"/>
        </w:tabs>
      </w:pPr>
      <w:rPr>
        <w:rFonts w:ascii="Times New Roman" w:hAnsi="Times New Roman"/>
        <w:color w:val="000000"/>
        <w:sz w:val="24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6546" w:hanging="1440"/>
        <w:tabs>
          <w:tab w:val="num" w:pos="6546" w:leader="none"/>
        </w:tabs>
      </w:pPr>
      <w:rPr>
        <w:rFonts w:ascii="Times New Roman" w:hAnsi="Times New Roman"/>
        <w:color w:val="000000"/>
        <w:sz w:val="24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7397" w:hanging="1440"/>
        <w:tabs>
          <w:tab w:val="num" w:pos="7397" w:leader="none"/>
        </w:tabs>
      </w:pPr>
      <w:rPr>
        <w:rFonts w:ascii="Times New Roman" w:hAnsi="Times New Roman"/>
        <w:color w:val="000000"/>
        <w:sz w:val="24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8608" w:hanging="1800"/>
        <w:tabs>
          <w:tab w:val="num" w:pos="8608" w:leader="none"/>
        </w:tabs>
      </w:pPr>
      <w:rPr>
        <w:rFonts w:ascii="Times New Roman" w:hAnsi="Times New Roman"/>
        <w:color w:val="000000"/>
        <w:sz w:val="24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24"/>
        <w:ind w:left="360" w:hanging="360"/>
        <w:tabs>
          <w:tab w:val="num" w:pos="360" w:leader="none"/>
        </w:tabs>
      </w:pPr>
      <w:rPr>
        <w:color w:val="000000"/>
      </w:rPr>
    </w:lvl>
    <w:lvl w:ilvl="1">
      <w:start w:val="3"/>
      <w:numFmt w:val="decimal"/>
      <w:isLgl w:val="false"/>
      <w:suff w:val="tab"/>
      <w:lvlText w:val="%1.%2."/>
      <w:lvlJc w:val="left"/>
      <w:pPr>
        <w:pStyle w:val="624"/>
        <w:ind w:left="1080" w:hanging="360"/>
        <w:tabs>
          <w:tab w:val="num" w:pos="1080" w:leader="none"/>
        </w:tabs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624"/>
        <w:ind w:left="2160" w:hanging="720"/>
        <w:tabs>
          <w:tab w:val="num" w:pos="2160" w:leader="none"/>
        </w:tabs>
      </w:pPr>
      <w:rPr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624"/>
        <w:ind w:left="2880" w:hanging="720"/>
        <w:tabs>
          <w:tab w:val="num" w:pos="2880" w:leader="none"/>
        </w:tabs>
      </w:pPr>
      <w:rPr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624"/>
        <w:ind w:left="3960" w:hanging="1080"/>
        <w:tabs>
          <w:tab w:val="num" w:pos="3960" w:leader="none"/>
        </w:tabs>
      </w:pPr>
      <w:rPr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624"/>
        <w:ind w:left="4680" w:hanging="1080"/>
        <w:tabs>
          <w:tab w:val="num" w:pos="4680" w:leader="none"/>
        </w:tabs>
      </w:pPr>
      <w:rPr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624"/>
        <w:ind w:left="5760" w:hanging="1440"/>
        <w:tabs>
          <w:tab w:val="num" w:pos="5760" w:leader="none"/>
        </w:tabs>
      </w:pPr>
      <w:rPr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24"/>
        <w:ind w:left="6480" w:hanging="1440"/>
        <w:tabs>
          <w:tab w:val="num" w:pos="6480" w:leader="none"/>
        </w:tabs>
      </w:pPr>
      <w:rPr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24"/>
        <w:ind w:left="7200" w:hanging="1440"/>
        <w:tabs>
          <w:tab w:val="num" w:pos="7200" w:leader="none"/>
        </w:tabs>
      </w:pPr>
      <w:rPr>
        <w:color w:val="000000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3.5.%1."/>
      <w:legacy w:legacy="1" w:legacyIndent="0" w:legacySpace="0"/>
      <w:lvlJc w:val="left"/>
      <w:pPr>
        <w:pStyle w:val="624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624"/>
        <w:ind w:left="1440" w:hanging="360"/>
        <w:tabs>
          <w:tab w:val="num" w:pos="1440" w:leader="none"/>
        </w:tabs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2."/>
      <w:lvlJc w:val="left"/>
      <w:pPr>
        <w:pStyle w:val="624"/>
        <w:ind w:left="2160" w:hanging="360"/>
        <w:tabs>
          <w:tab w:val="num" w:pos="2160" w:leader="none"/>
        </w:tabs>
      </w:pPr>
    </w:lvl>
    <w:lvl w:ilvl="2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3600" w:hanging="360"/>
        <w:tabs>
          <w:tab w:val="num" w:pos="36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4320" w:hanging="360"/>
        <w:tabs>
          <w:tab w:val="num" w:pos="432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5040" w:hanging="360"/>
        <w:tabs>
          <w:tab w:val="num" w:pos="50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760" w:hanging="360"/>
        <w:tabs>
          <w:tab w:val="num" w:pos="57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6480" w:hanging="360"/>
        <w:tabs>
          <w:tab w:val="num" w:pos="648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7200" w:hanging="360"/>
        <w:tabs>
          <w:tab w:val="num" w:pos="7200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24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24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24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24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24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24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24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24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24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4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0" w:legacySpace="0"/>
        <w:lvlJc w:val="left"/>
        <w:pPr>
          <w:pStyle w:val="624"/>
        </w:pPr>
        <w:rPr>
          <w:rFonts w:ascii="Times New Roman" w:hAnsi="Times New Roman"/>
        </w:rPr>
      </w:lvl>
    </w:lvlOverride>
  </w:num>
  <w:num w:numId="5">
    <w:abstractNumId w:val="9"/>
  </w:num>
  <w:num w:numId="6">
    <w:abstractNumId w:val="3"/>
  </w:num>
  <w:num w:numId="7">
    <w:abstractNumId w:val="7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8"/>
  </w:num>
  <w:num w:numId="13">
    <w:abstractNumId w:val="5"/>
  </w:num>
  <w:num w:numId="14">
    <w:abstractNumId w:val="6"/>
  </w:num>
  <w:num w:numId="1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mirrorMargins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24">
    <w:name w:val="Обычный"/>
    <w:next w:val="624"/>
    <w:link w:val="624"/>
    <w:rPr>
      <w:rFonts w:ascii="Arial" w:hAnsi="Arial"/>
      <w:lang w:val="uk-UA" w:bidi="ar-SA" w:eastAsia="ru-RU"/>
    </w:rPr>
    <w:pPr>
      <w:widowControl w:val="off"/>
    </w:pPr>
  </w:style>
  <w:style w:type="paragraph" w:styleId="625">
    <w:name w:val="Заголовок 1"/>
    <w:basedOn w:val="624"/>
    <w:next w:val="624"/>
    <w:link w:val="624"/>
    <w:rPr>
      <w:rFonts w:ascii="Times New Roman" w:hAnsi="Times New Roman"/>
      <w:b/>
      <w:bCs/>
      <w:color w:val="339966"/>
      <w:spacing w:val="-16"/>
      <w:position w:val="1"/>
      <w:sz w:val="46"/>
      <w:szCs w:val="46"/>
    </w:rPr>
    <w:pPr>
      <w:ind w:left="19" w:firstLine="832"/>
      <w:jc w:val="center"/>
      <w:keepNext/>
      <w:shd w:val="clear" w:fill="FFFFFF" w:color="auto"/>
      <w:widowControl/>
      <w:outlineLvl w:val="0"/>
    </w:pPr>
  </w:style>
  <w:style w:type="paragraph" w:styleId="626">
    <w:name w:val="Заголовок 2"/>
    <w:basedOn w:val="624"/>
    <w:next w:val="624"/>
    <w:link w:val="624"/>
    <w:rPr>
      <w:rFonts w:ascii="Times New Roman" w:hAnsi="Times New Roman"/>
      <w:b/>
      <w:bCs/>
      <w:i/>
      <w:iCs/>
      <w:sz w:val="24"/>
      <w:szCs w:val="24"/>
    </w:rPr>
    <w:pPr>
      <w:jc w:val="center"/>
      <w:keepNext/>
      <w:widowControl/>
      <w:outlineLvl w:val="1"/>
    </w:pPr>
  </w:style>
  <w:style w:type="paragraph" w:styleId="627">
    <w:name w:val="Заголовок 3"/>
    <w:basedOn w:val="624"/>
    <w:next w:val="624"/>
    <w:link w:val="624"/>
    <w:rPr>
      <w:rFonts w:ascii="Times New Roman" w:hAnsi="Times New Roman"/>
      <w:b/>
      <w:bCs/>
      <w:sz w:val="24"/>
      <w:szCs w:val="24"/>
    </w:rPr>
    <w:pPr>
      <w:jc w:val="center"/>
      <w:keepNext/>
      <w:widowControl/>
      <w:outlineLvl w:val="2"/>
    </w:pPr>
  </w:style>
  <w:style w:type="character" w:styleId="628">
    <w:name w:val="Основной шрифт абзаца"/>
    <w:next w:val="628"/>
    <w:link w:val="624"/>
    <w:semiHidden/>
  </w:style>
  <w:style w:type="table" w:styleId="629">
    <w:name w:val="Обычная таблица"/>
    <w:next w:val="629"/>
    <w:link w:val="624"/>
    <w:semiHidden/>
    <w:tblPr/>
  </w:style>
  <w:style w:type="numbering" w:styleId="630">
    <w:name w:val="Нет списка"/>
    <w:next w:val="630"/>
    <w:link w:val="624"/>
    <w:semiHidden/>
  </w:style>
  <w:style w:type="paragraph" w:styleId="631">
    <w:name w:val="Название"/>
    <w:basedOn w:val="624"/>
    <w:next w:val="631"/>
    <w:link w:val="639"/>
    <w:rPr>
      <w:rFonts w:ascii="Times New Roman" w:hAnsi="Times New Roman"/>
      <w:b/>
      <w:bCs/>
      <w:color w:val="000000"/>
      <w:spacing w:val="-16"/>
      <w:position w:val="1"/>
      <w:sz w:val="24"/>
      <w:szCs w:val="46"/>
      <w:lang w:eastAsia="en-US"/>
    </w:rPr>
    <w:pPr>
      <w:ind w:left="19" w:firstLine="832"/>
      <w:jc w:val="center"/>
      <w:keepNext/>
      <w:spacing w:lineRule="exact" w:line="408"/>
      <w:shd w:val="clear" w:fill="FFFFFF" w:color="auto"/>
      <w:widowControl/>
    </w:pPr>
  </w:style>
  <w:style w:type="paragraph" w:styleId="632">
    <w:name w:val="Основной текст с отступом"/>
    <w:basedOn w:val="624"/>
    <w:next w:val="632"/>
    <w:link w:val="624"/>
    <w:rPr>
      <w:rFonts w:ascii="Times New Roman" w:hAnsi="Times New Roman"/>
      <w:i/>
      <w:iCs/>
      <w:color w:val="000000"/>
      <w:spacing w:val="-16"/>
      <w:position w:val="1"/>
      <w:sz w:val="24"/>
      <w:szCs w:val="46"/>
      <w:lang w:val="uk-UA"/>
    </w:rPr>
    <w:pPr>
      <w:ind w:left="19" w:firstLine="832"/>
      <w:jc w:val="center"/>
      <w:keepNext/>
      <w:spacing w:lineRule="exact" w:line="408"/>
      <w:shd w:val="clear" w:fill="FFFFFF" w:color="auto"/>
      <w:widowControl/>
    </w:pPr>
  </w:style>
  <w:style w:type="paragraph" w:styleId="633">
    <w:name w:val="Основной текст с отступом 2"/>
    <w:basedOn w:val="624"/>
    <w:next w:val="633"/>
    <w:link w:val="624"/>
    <w:rPr>
      <w:rFonts w:ascii="Times New Roman" w:hAnsi="Times New Roman"/>
      <w:sz w:val="24"/>
    </w:rPr>
    <w:pPr>
      <w:numPr>
        <w:ilvl w:val="1"/>
        <w:numId w:val="0"/>
      </w:numPr>
      <w:ind w:left="2159" w:hanging="1308"/>
      <w:jc w:val="both"/>
      <w:spacing w:lineRule="exact" w:line="240"/>
      <w:shd w:val="clear" w:fill="FFFFFF" w:color="auto"/>
      <w:widowControl/>
      <w:tabs>
        <w:tab w:val="left" w:pos="1243" w:leader="none"/>
        <w:tab w:val="num" w:pos="2159" w:leader="none"/>
      </w:tabs>
    </w:pPr>
  </w:style>
  <w:style w:type="paragraph" w:styleId="634">
    <w:name w:val="Основной текст с отступом 3"/>
    <w:basedOn w:val="624"/>
    <w:next w:val="634"/>
    <w:link w:val="624"/>
    <w:rPr>
      <w:rFonts w:ascii="Times New Roman" w:hAnsi="Times New Roman"/>
      <w:color w:val="000000"/>
      <w:spacing w:val="1"/>
      <w:sz w:val="24"/>
      <w:szCs w:val="24"/>
    </w:rPr>
    <w:pPr>
      <w:ind w:left="19"/>
      <w:jc w:val="both"/>
      <w:shd w:val="clear" w:fill="FFFFFF" w:color="auto"/>
      <w:widowControl/>
      <w:tabs>
        <w:tab w:val="left" w:pos="850" w:leader="none"/>
      </w:tabs>
    </w:pPr>
  </w:style>
  <w:style w:type="paragraph" w:styleId="635">
    <w:name w:val="Основной текст 2"/>
    <w:basedOn w:val="624"/>
    <w:next w:val="635"/>
    <w:link w:val="624"/>
    <w:rPr>
      <w:rFonts w:ascii="Times New Roman" w:hAnsi="Times New Roman"/>
      <w:sz w:val="24"/>
      <w:szCs w:val="24"/>
    </w:rPr>
    <w:pPr>
      <w:jc w:val="center"/>
      <w:widowControl/>
    </w:pPr>
  </w:style>
  <w:style w:type="paragraph" w:styleId="636">
    <w:name w:val="Цитата"/>
    <w:basedOn w:val="624"/>
    <w:next w:val="636"/>
    <w:link w:val="624"/>
    <w:rPr>
      <w:rFonts w:ascii="Times New Roman" w:hAnsi="Times New Roman"/>
      <w:sz w:val="24"/>
      <w:szCs w:val="24"/>
    </w:rPr>
    <w:pPr>
      <w:ind w:left="1260" w:right="355" w:hanging="540"/>
      <w:widowControl/>
    </w:pPr>
  </w:style>
  <w:style w:type="paragraph" w:styleId="637">
    <w:name w:val="Base + up bold"/>
    <w:basedOn w:val="638"/>
    <w:next w:val="638"/>
    <w:link w:val="624"/>
    <w:rPr>
      <w:b/>
      <w:bCs/>
      <w:color w:val="000000"/>
    </w:rPr>
    <w:pPr>
      <w:spacing w:after="57" w:before="113"/>
    </w:pPr>
  </w:style>
  <w:style w:type="paragraph" w:styleId="638">
    <w:name w:val="base"/>
    <w:next w:val="638"/>
    <w:link w:val="624"/>
    <w:rPr>
      <w:rFonts w:ascii="PragmaticaC" w:hAnsi="PragmaticaC"/>
      <w:color w:val="000000"/>
      <w:sz w:val="18"/>
      <w:szCs w:val="18"/>
      <w:lang w:val="ru-RU" w:bidi="ar-SA" w:eastAsia="ru-RU"/>
    </w:rPr>
    <w:pPr>
      <w:ind w:firstLine="283"/>
      <w:jc w:val="both"/>
      <w:spacing w:lineRule="atLeast" w:line="192"/>
    </w:pPr>
  </w:style>
  <w:style w:type="character" w:styleId="639">
    <w:name w:val="Название Знак"/>
    <w:next w:val="639"/>
    <w:link w:val="631"/>
    <w:rPr>
      <w:b/>
      <w:bCs/>
      <w:color w:val="000000"/>
      <w:spacing w:val="-16"/>
      <w:position w:val="1"/>
      <w:sz w:val="24"/>
      <w:szCs w:val="46"/>
      <w:shd w:val="clear" w:fill="FFFFFF" w:color="auto"/>
      <w:lang w:val="uk-UA"/>
    </w:rPr>
  </w:style>
  <w:style w:type="paragraph" w:styleId="640">
    <w:name w:val="Текст выноски"/>
    <w:basedOn w:val="624"/>
    <w:next w:val="640"/>
    <w:link w:val="641"/>
    <w:rPr>
      <w:rFonts w:ascii="Segoe UI" w:hAnsi="Segoe UI"/>
      <w:sz w:val="18"/>
      <w:szCs w:val="18"/>
      <w:lang w:eastAsia="en-US"/>
    </w:rPr>
  </w:style>
  <w:style w:type="character" w:styleId="641">
    <w:name w:val="Текст выноски Знак"/>
    <w:next w:val="641"/>
    <w:link w:val="640"/>
    <w:rPr>
      <w:rFonts w:ascii="Segoe UI" w:hAnsi="Segoe UI"/>
      <w:sz w:val="18"/>
      <w:szCs w:val="18"/>
      <w:lang w:val="uk-UA"/>
    </w:rPr>
  </w:style>
  <w:style w:type="paragraph" w:styleId="642">
    <w:name w:val="Подзаголовок"/>
    <w:basedOn w:val="624"/>
    <w:next w:val="642"/>
    <w:link w:val="624"/>
    <w:rPr>
      <w:rFonts w:ascii="Times New Roman" w:hAnsi="Times New Roman"/>
      <w:sz w:val="32"/>
      <w:szCs w:val="24"/>
    </w:rPr>
    <w:pPr>
      <w:jc w:val="center"/>
      <w:widowControl/>
    </w:pPr>
  </w:style>
  <w:style w:type="character" w:styleId="858" w:default="1">
    <w:name w:val="Default Paragraph Font"/>
    <w:uiPriority w:val="1"/>
    <w:semiHidden/>
    <w:unhideWhenUsed/>
  </w:style>
  <w:style w:type="numbering" w:styleId="859" w:default="1">
    <w:name w:val="No List"/>
    <w:uiPriority w:val="99"/>
    <w:semiHidden/>
    <w:unhideWhenUsed/>
  </w:style>
  <w:style w:type="paragraph" w:styleId="860" w:default="1">
    <w:name w:val="Normal"/>
    <w:qFormat/>
  </w:style>
  <w:style w:type="table" w:styleId="86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2021-12-05T12:34:26Z</dcterms:modified>
</cp:coreProperties>
</file>