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597"/>
        <w:jc w:val="center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 xml:space="preserve">МЕНС</w:t>
      </w:r>
      <w:r>
        <w:rPr>
          <w:b/>
          <w:bCs/>
          <w:sz w:val="28"/>
          <w:szCs w:val="28"/>
        </w:rPr>
        <w:t xml:space="preserve">ЬКА</w:t>
      </w:r>
      <w:r>
        <w:rPr>
          <w:b/>
          <w:bCs/>
          <w:sz w:val="28"/>
          <w:szCs w:val="28"/>
        </w:rPr>
        <w:t xml:space="preserve"> МІСЬКА РАДА</w:t>
      </w:r>
      <w:r>
        <w:rPr>
          <w:sz w:val="28"/>
          <w:szCs w:val="28"/>
        </w:rPr>
      </w:r>
      <w:r/>
    </w:p>
    <w:p>
      <w:pPr>
        <w:pStyle w:val="597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КОРЮКІВСЬКОГО РАЙОНУ ЧЕРНІГІВСЬКОЇ </w:t>
      </w:r>
      <w:r>
        <w:rPr>
          <w:b/>
          <w:bCs/>
          <w:sz w:val="28"/>
          <w:szCs w:val="28"/>
        </w:rPr>
        <w:t xml:space="preserve">ОБЛАСТІ</w:t>
      </w:r>
      <w:r>
        <w:rPr>
          <w:sz w:val="28"/>
          <w:szCs w:val="28"/>
        </w:rPr>
      </w:r>
      <w:r/>
    </w:p>
    <w:p>
      <w:pPr>
        <w:pStyle w:val="597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597"/>
        <w:ind w:left="5387"/>
        <w:rPr>
          <w:sz w:val="28"/>
          <w:szCs w:val="28"/>
        </w:rPr>
      </w:pPr>
      <w:r>
        <w:rPr>
          <w:sz w:val="28"/>
          <w:szCs w:val="28"/>
        </w:rPr>
        <w:t xml:space="preserve">ЗАТВЕРДЖЕНО</w:t>
      </w:r>
      <w:r/>
    </w:p>
    <w:p>
      <w:pPr>
        <w:pStyle w:val="597"/>
        <w:ind w:left="5387"/>
        <w:rPr>
          <w:sz w:val="28"/>
          <w:szCs w:val="28"/>
        </w:rPr>
      </w:pPr>
      <w:r>
        <w:rPr>
          <w:sz w:val="28"/>
          <w:szCs w:val="28"/>
        </w:rPr>
        <w:t xml:space="preserve">Розпорядження міського голови</w:t>
      </w:r>
      <w:r/>
    </w:p>
    <w:p>
      <w:pPr>
        <w:pStyle w:val="597"/>
        <w:ind w:left="538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29 листопада</w:t>
      </w:r>
      <w:r>
        <w:rPr>
          <w:sz w:val="28"/>
          <w:szCs w:val="28"/>
        </w:rPr>
        <w:t xml:space="preserve"> 20</w:t>
      </w:r>
      <w:r>
        <w:rPr>
          <w:sz w:val="28"/>
          <w:szCs w:val="28"/>
          <w:lang w:val="uk-UA"/>
        </w:rPr>
        <w:t xml:space="preserve">21</w:t>
      </w:r>
      <w:r>
        <w:rPr>
          <w:sz w:val="28"/>
          <w:szCs w:val="28"/>
        </w:rPr>
        <w:t xml:space="preserve"> року № </w:t>
      </w:r>
      <w:r>
        <w:rPr>
          <w:sz w:val="28"/>
          <w:szCs w:val="28"/>
          <w:lang w:val="uk-UA"/>
        </w:rPr>
        <w:t xml:space="preserve">435</w:t>
      </w:r>
      <w:r>
        <w:rPr>
          <w:sz w:val="28"/>
          <w:szCs w:val="28"/>
          <w:lang w:val="uk-UA"/>
        </w:rPr>
      </w:r>
      <w:r/>
    </w:p>
    <w:p>
      <w:pPr>
        <w:pStyle w:val="59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597"/>
        <w:jc w:val="center"/>
        <w:widowControl w:val="off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ПРОГРАМА</w:t>
      </w:r>
      <w:r/>
    </w:p>
    <w:p>
      <w:pPr>
        <w:pStyle w:val="597"/>
        <w:jc w:val="center"/>
        <w:widowControl w:val="off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навчання з питань охорони прані працівників, зайнятих на роботах  з підвищеною небезпекою</w:t>
      </w:r>
      <w:r/>
    </w:p>
    <w:p>
      <w:pPr>
        <w:pStyle w:val="597"/>
        <w:jc w:val="both"/>
        <w:widowControl w:val="off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</w:t>
      </w:r>
      <w:r/>
    </w:p>
    <w:p>
      <w:pPr>
        <w:pStyle w:val="597"/>
        <w:jc w:val="center"/>
        <w:widowControl w:val="off"/>
        <w:rPr>
          <w:caps/>
          <w:sz w:val="28"/>
          <w:szCs w:val="28"/>
          <w:lang w:val="uk-UA"/>
        </w:rPr>
      </w:pPr>
      <w:r>
        <w:rPr>
          <w:caps/>
          <w:sz w:val="28"/>
          <w:szCs w:val="28"/>
          <w:lang w:val="uk-UA"/>
        </w:rPr>
        <w:t xml:space="preserve">Тематичний план</w:t>
      </w:r>
      <w:r/>
    </w:p>
    <w:p>
      <w:pPr>
        <w:pStyle w:val="597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Тема 1. Законодавство України про охорону праці. Основні положення Закону                                       України "Про охорону праці".</w:t>
      </w:r>
      <w:r/>
    </w:p>
    <w:p>
      <w:pPr>
        <w:pStyle w:val="597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Тема</w:t>
      </w:r>
      <w:r>
        <w:rPr>
          <w:sz w:val="28"/>
          <w:szCs w:val="28"/>
          <w:lang w:val="uk-UA"/>
        </w:rPr>
        <w:t xml:space="preserve">  2</w:t>
      </w:r>
      <w:r>
        <w:rPr>
          <w:sz w:val="28"/>
          <w:szCs w:val="28"/>
          <w:lang w:val="uk-UA"/>
        </w:rPr>
        <w:t xml:space="preserve">. Законодавство України про працю.</w:t>
      </w:r>
      <w:r/>
    </w:p>
    <w:p>
      <w:pPr>
        <w:pStyle w:val="597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Тема</w:t>
      </w:r>
      <w:r>
        <w:rPr>
          <w:sz w:val="28"/>
          <w:szCs w:val="28"/>
          <w:lang w:val="uk-UA"/>
        </w:rPr>
        <w:t xml:space="preserve"> 3</w:t>
      </w:r>
      <w:r>
        <w:rPr>
          <w:sz w:val="28"/>
          <w:szCs w:val="28"/>
          <w:lang w:val="uk-UA"/>
        </w:rPr>
        <w:t xml:space="preserve">. Загальні вимоги безпеки до стану території, робочих місць, обладнання, інструменту та пристроїв.</w:t>
      </w:r>
      <w:r/>
    </w:p>
    <w:p>
      <w:pPr>
        <w:pStyle w:val="597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Тема 4. Вимоги правил безпеки при очищенні, митті  ТТЗ, вузлів, деталей.</w:t>
      </w:r>
      <w:r/>
    </w:p>
    <w:p>
      <w:pPr>
        <w:pStyle w:val="597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Тема 5. Вимоги правил безпеки при проведенні розбир</w:t>
      </w:r>
      <w:r>
        <w:rPr>
          <w:sz w:val="28"/>
          <w:szCs w:val="28"/>
          <w:lang w:val="uk-UA"/>
        </w:rPr>
        <w:t xml:space="preserve">а</w:t>
      </w:r>
      <w:r>
        <w:rPr>
          <w:sz w:val="28"/>
          <w:szCs w:val="28"/>
          <w:lang w:val="uk-UA"/>
        </w:rPr>
        <w:t xml:space="preserve">льно-збиральних і слюсарних робіт.</w:t>
      </w:r>
      <w:r/>
    </w:p>
    <w:p>
      <w:pPr>
        <w:pStyle w:val="597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Тема 6</w:t>
      </w:r>
      <w:r>
        <w:rPr>
          <w:sz w:val="28"/>
          <w:szCs w:val="28"/>
          <w:lang w:val="uk-UA"/>
        </w:rPr>
        <w:t xml:space="preserve">. Заходи безпеки при технічному обслуговуванні тракторів.  </w:t>
      </w:r>
      <w:r/>
    </w:p>
    <w:p>
      <w:pPr>
        <w:pStyle w:val="597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Тема </w:t>
      </w:r>
      <w:r>
        <w:rPr>
          <w:sz w:val="28"/>
          <w:szCs w:val="28"/>
          <w:lang w:val="uk-UA"/>
        </w:rPr>
        <w:t xml:space="preserve">7</w:t>
      </w:r>
      <w:r>
        <w:rPr>
          <w:sz w:val="28"/>
          <w:szCs w:val="28"/>
          <w:lang w:val="uk-UA"/>
        </w:rPr>
        <w:t xml:space="preserve">. Вимоги правил пожежної безпеки.</w:t>
      </w:r>
      <w:r/>
    </w:p>
    <w:p>
      <w:pPr>
        <w:pStyle w:val="597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Тема </w:t>
      </w:r>
      <w:r>
        <w:rPr>
          <w:sz w:val="28"/>
          <w:szCs w:val="28"/>
          <w:lang w:val="uk-UA"/>
        </w:rPr>
        <w:t xml:space="preserve">8</w:t>
      </w:r>
      <w:r>
        <w:rPr>
          <w:sz w:val="28"/>
          <w:szCs w:val="28"/>
          <w:lang w:val="uk-UA"/>
        </w:rPr>
        <w:t xml:space="preserve">. Виробнича санітарія і гігієна праці.</w:t>
      </w:r>
      <w:r/>
    </w:p>
    <w:p>
      <w:pPr>
        <w:pStyle w:val="597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Тема </w:t>
      </w:r>
      <w:r>
        <w:rPr>
          <w:sz w:val="28"/>
          <w:szCs w:val="28"/>
          <w:lang w:val="uk-UA"/>
        </w:rPr>
        <w:t xml:space="preserve">9</w:t>
      </w:r>
      <w:r>
        <w:rPr>
          <w:sz w:val="28"/>
          <w:szCs w:val="28"/>
          <w:lang w:val="uk-UA"/>
        </w:rPr>
        <w:t xml:space="preserve">. Надання першої допомоги потерпілим при нещасних випадках.</w:t>
      </w:r>
      <w:r/>
    </w:p>
    <w:p>
      <w:pPr>
        <w:pStyle w:val="597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7"/>
        <w:jc w:val="center"/>
        <w:widowControl w:val="off"/>
        <w:rPr>
          <w:caps/>
          <w:sz w:val="28"/>
          <w:szCs w:val="28"/>
        </w:rPr>
      </w:pPr>
      <w:r>
        <w:rPr>
          <w:caps/>
          <w:sz w:val="28"/>
          <w:szCs w:val="28"/>
          <w:lang w:val="uk-UA"/>
        </w:rPr>
        <w:t xml:space="preserve">Програма навчання</w:t>
      </w:r>
      <w:r>
        <w:rPr>
          <w:caps/>
          <w:sz w:val="28"/>
          <w:szCs w:val="28"/>
        </w:rPr>
      </w:r>
      <w:r/>
    </w:p>
    <w:p>
      <w:pPr>
        <w:pStyle w:val="597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Тема І.</w:t>
      </w:r>
      <w:r>
        <w:rPr>
          <w:sz w:val="28"/>
          <w:szCs w:val="28"/>
          <w:lang w:val="uk-UA"/>
        </w:rPr>
        <w:t xml:space="preserve"> Законодавство України про охорону праці. Основні поло</w:t>
      </w:r>
      <w:r>
        <w:rPr>
          <w:sz w:val="28"/>
          <w:szCs w:val="28"/>
          <w:lang w:val="uk-UA"/>
        </w:rPr>
        <w:t xml:space="preserve">ж</w:t>
      </w:r>
      <w:r>
        <w:rPr>
          <w:sz w:val="28"/>
          <w:szCs w:val="28"/>
          <w:lang w:val="uk-UA"/>
        </w:rPr>
        <w:t xml:space="preserve">ення Закону         України "Про охорону праці".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Поняття охорони праці. Соціально-економічне значення охорони праці. Основні законодавчі акти з охорони праці.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Основні положення Закону України "Про охорону праці". Основні принципи державної політики в галузі охорони праці.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Право громадян на охорону праці при укладенні трудового договору. Право працівників на охорону праці під час роботи на підприємстві.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Соціальне страхування від нещасних випадків на виробництві та профзахворювань.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Відшкодування шкоди у разі ушкодження здоров</w:t>
      </w:r>
      <w:r>
        <w:rPr>
          <w:sz w:val="28"/>
          <w:szCs w:val="28"/>
        </w:rPr>
        <w:t xml:space="preserve">’</w:t>
      </w:r>
      <w:r>
        <w:rPr>
          <w:sz w:val="28"/>
          <w:szCs w:val="28"/>
          <w:lang w:val="uk-UA"/>
        </w:rPr>
        <w:t xml:space="preserve">я або в разі смерті працівника.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Обов</w:t>
      </w:r>
      <w:r>
        <w:rPr>
          <w:sz w:val="28"/>
          <w:szCs w:val="28"/>
        </w:rPr>
        <w:t xml:space="preserve">’</w:t>
      </w:r>
      <w:r>
        <w:rPr>
          <w:sz w:val="28"/>
          <w:szCs w:val="28"/>
          <w:lang w:val="uk-UA"/>
        </w:rPr>
        <w:t xml:space="preserve">язки власника щодо створення безпечних та нешкідливих умов праці.                      </w:t>
      </w:r>
      <w:r>
        <w:rPr>
          <w:sz w:val="28"/>
          <w:szCs w:val="28"/>
          <w:lang w:val="uk-UA"/>
        </w:rPr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Обов</w:t>
      </w:r>
      <w:r>
        <w:rPr>
          <w:sz w:val="28"/>
          <w:szCs w:val="28"/>
        </w:rPr>
        <w:t xml:space="preserve">’</w:t>
      </w:r>
      <w:r>
        <w:rPr>
          <w:sz w:val="28"/>
          <w:szCs w:val="28"/>
          <w:lang w:val="uk-UA"/>
        </w:rPr>
        <w:t xml:space="preserve">язки працівника виконувати вимоги нормативних актів про охорону праці.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Положення про навчання з питань охорони праці. Навчання і перевірка знань з питань охорони праці працівників. Інструктажі з питань охорони праці (види, періодичність, зміст).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Основні вимоги положення про розслідування та облік нещасних випадків, професійних захворювань і аварій на виробництві.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Державний нагляд за охороною праці. Громадський контроль за додержанням законодавства про охорону праці.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Відповідальність за порушення законодавчих та інших нормативних актів про охорону праці.</w:t>
      </w:r>
      <w:r/>
    </w:p>
    <w:p>
      <w:pPr>
        <w:pStyle w:val="597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7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Тема 2</w:t>
      </w:r>
      <w:r>
        <w:rPr>
          <w:sz w:val="28"/>
          <w:szCs w:val="28"/>
          <w:lang w:val="uk-UA"/>
        </w:rPr>
        <w:t xml:space="preserve">. Законодавство України про праці.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Колективний договір, його зміст. Розробка, укладення та виконання колективного договору.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Робочий час та час відпочинку. Скорочена тривалість робочого часу. Обмеження надурочних робіт.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Правила внутрішнього трудового розпорядку підприємства.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Право працівників на пільги та компенсації за важкі та шкідливі умови праві.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Вирішення спірних питань між роботодавцем і працівником.</w:t>
      </w:r>
      <w:r/>
    </w:p>
    <w:p>
      <w:pPr>
        <w:pStyle w:val="597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7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Тема 3.</w:t>
      </w:r>
      <w:r>
        <w:rPr>
          <w:sz w:val="28"/>
          <w:szCs w:val="28"/>
          <w:lang w:val="uk-UA"/>
        </w:rPr>
        <w:t xml:space="preserve"> Загальні вимоги безпеки до стану території, робочих місць, обладнання, інструменту та пристроїв.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Загальні вимоги безпеки до стану території, утримання виробничих приміщень.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Організація робочого місця при проведенні ремонтних робіт. Раціональне розміщення обладнання, інструменту та пристосувань.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Вимоги до стану обладнання, інструменту та пристосувань. Безпечне використання інструменту та пристосувань. Вимоги безпеки до стану приставних драбин та стрем'янок, заходи безпеки при роботі з їх використанням.</w:t>
      </w:r>
      <w:r/>
    </w:p>
    <w:p>
      <w:pPr>
        <w:pStyle w:val="597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7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Тема 4.</w:t>
      </w:r>
      <w:r>
        <w:rPr>
          <w:sz w:val="28"/>
          <w:szCs w:val="28"/>
          <w:lang w:val="uk-UA"/>
        </w:rPr>
        <w:t xml:space="preserve"> Вимоги правил безпеки при проведенні розбирально-збиральних і слюсарних робіт.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Обладнання робочих місць для розбирально-збирельних і слюсарних робіт щодо безпеки праці. Вимоги до інструменту та пристроїв, що використовуються для розбирально-збиральннх та слюсарних робіт.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Обладнання спеціальних стелажів для розміщення вузлів та деталей.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Вимоги щодо надійної фіксації нерухомого стану техніки, вузлів, що підлягають розбиранню чи збиранню.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Заходи безпеки при проведенні розбирально-збиральних і слюсарних робіт. Використання засобів індивідуального захисту.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Безпечне виконання робіт по монтажу, демонтажу і накачуванні шин.</w:t>
      </w:r>
      <w:r/>
    </w:p>
    <w:p>
      <w:pPr>
        <w:pStyle w:val="597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7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Тема 5.</w:t>
      </w:r>
      <w:r>
        <w:rPr>
          <w:sz w:val="28"/>
          <w:szCs w:val="28"/>
          <w:lang w:val="uk-UA"/>
        </w:rPr>
        <w:t xml:space="preserve"> Вимоги правил безпеки при очищенні, митті ТТЗ,  вузлів, деталей.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Загальні вимоги до стану місць для проведення миття  ТТЗ.   Правила використання мийних машин та ванн, встановлених у виробничих приміщеннях.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Миючі засоби, правила безпечного їх використання.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Використання засобів індивідуального захисту.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Заходи безпеки при проведенні робіт по очищенню  ТТЗ.</w:t>
      </w:r>
      <w:r/>
    </w:p>
    <w:p>
      <w:pPr>
        <w:pStyle w:val="597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7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Тема</w:t>
      </w:r>
      <w:r>
        <w:rPr>
          <w:sz w:val="28"/>
          <w:szCs w:val="28"/>
          <w:u w:val="single"/>
          <w:lang w:val="uk-UA"/>
        </w:rPr>
        <w:t xml:space="preserve"> 6</w:t>
      </w:r>
      <w:r>
        <w:rPr>
          <w:sz w:val="28"/>
          <w:szCs w:val="28"/>
          <w:u w:val="single"/>
          <w:lang w:val="uk-UA"/>
        </w:rPr>
        <w:t xml:space="preserve">.</w:t>
      </w:r>
      <w:r>
        <w:rPr>
          <w:sz w:val="28"/>
          <w:szCs w:val="28"/>
          <w:lang w:val="uk-UA"/>
        </w:rPr>
        <w:t xml:space="preserve"> Заходи безпеки при технічному обслуговуванні тракторів.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Вимоги до технологічного обладнання для технічного обслуговування машин  і механізмів.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Заходи безпеки при проведенні технічного обслугову</w:t>
      </w:r>
      <w:r>
        <w:rPr>
          <w:sz w:val="28"/>
          <w:szCs w:val="28"/>
          <w:lang w:val="uk-UA"/>
        </w:rPr>
        <w:t xml:space="preserve">вання тракторів і обладнання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Порядок безпечного виконання робіт по технічному обслуговуванню.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Заходи безпеки при підготовці до зберігання те   постановці на зберігання  техніки.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Вимоги безпеки при зберіганні та використанні нафтопродуктів.</w:t>
      </w:r>
      <w:r/>
    </w:p>
    <w:p>
      <w:pPr>
        <w:pStyle w:val="597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7"/>
        <w:jc w:val="both"/>
        <w:widowControl w:val="off"/>
        <w:rPr>
          <w:sz w:val="28"/>
          <w:szCs w:val="28"/>
        </w:rPr>
      </w:pPr>
      <w:r>
        <w:rPr>
          <w:sz w:val="28"/>
          <w:szCs w:val="28"/>
          <w:u w:val="single"/>
          <w:lang w:val="uk-UA"/>
        </w:rPr>
        <w:t xml:space="preserve">Тема </w:t>
      </w:r>
      <w:r>
        <w:rPr>
          <w:sz w:val="28"/>
          <w:szCs w:val="28"/>
          <w:u w:val="single"/>
          <w:lang w:val="uk-UA"/>
        </w:rPr>
        <w:t xml:space="preserve">7</w:t>
      </w:r>
      <w:r>
        <w:rPr>
          <w:sz w:val="28"/>
          <w:szCs w:val="28"/>
          <w:u w:val="single"/>
          <w:lang w:val="uk-UA"/>
        </w:rPr>
        <w:t xml:space="preserve">.</w:t>
      </w:r>
      <w:r>
        <w:rPr>
          <w:sz w:val="28"/>
          <w:szCs w:val="28"/>
          <w:lang w:val="uk-UA"/>
        </w:rPr>
        <w:t xml:space="preserve"> Вимоги правил пожежної безпеки,</w:t>
      </w:r>
      <w:r>
        <w:rPr>
          <w:sz w:val="28"/>
          <w:szCs w:val="28"/>
        </w:rPr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Коротка характеристика виробництва та пожежна небезпека технологічного обладнання, технологічних процесів.</w:t>
      </w:r>
      <w:r>
        <w:rPr>
          <w:sz w:val="28"/>
          <w:szCs w:val="28"/>
        </w:rPr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Основні причини</w:t>
      </w:r>
      <w:r>
        <w:rPr>
          <w:sz w:val="28"/>
          <w:szCs w:val="28"/>
          <w:lang w:val="uk-UA"/>
        </w:rPr>
        <w:t xml:space="preserve"> пожеж, порушення технологічних регламентів, несправність технологічного обладнання, порушення правил користування інструментами і нагрівальними приладами, порушення вимог пожежної безпеки при проведенні зварювальних робіт і необережне поводження з вогнем.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Утримання території та виробничих приміщень, протипожежні розриви. Основні вимоги до шляхів евакуації. Протипожежний режим на підприємстві.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Заходи пожежної безпека, яких потрібно дотримуватись перед початком роботи, під час роботи та по її </w:t>
      </w:r>
      <w:r>
        <w:rPr>
          <w:sz w:val="28"/>
          <w:szCs w:val="28"/>
          <w:lang w:val="uk-UA"/>
        </w:rPr>
        <w:t xml:space="preserve">закінченні. Вимоги правил пожежної безпеки до технологічного обладнання майстерень. Вимоги пожежної безпеки до технологічних процесів ремонту і технічного обслуговування техніки. Заходи пожежної безпеки при зберіганні і використанні легкозаймистих речовин.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Призначення та утримання засобів пожежогасіння, їх розміщення.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Використання вогнегасників, протипожежного інвентаря та вогнегасних засобів.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Засоби зв</w:t>
      </w:r>
      <w:r>
        <w:rPr>
          <w:sz w:val="28"/>
          <w:szCs w:val="28"/>
        </w:rPr>
        <w:t xml:space="preserve">’</w:t>
      </w:r>
      <w:r>
        <w:rPr>
          <w:sz w:val="28"/>
          <w:szCs w:val="28"/>
          <w:lang w:val="uk-UA"/>
        </w:rPr>
        <w:t xml:space="preserve">язку і сповіщення про пожежу.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Дії працівників при виявленні задимлення, загорання чи пожежі. Порядок повідомлення в пожежну частину. Дії працівників до прибуття і після прибуття пожежних підрозділів.</w:t>
      </w:r>
      <w:r/>
    </w:p>
    <w:p>
      <w:pPr>
        <w:pStyle w:val="597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7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Тема </w:t>
      </w:r>
      <w:r>
        <w:rPr>
          <w:sz w:val="28"/>
          <w:szCs w:val="28"/>
          <w:u w:val="single"/>
          <w:lang w:val="uk-UA"/>
        </w:rPr>
        <w:t xml:space="preserve">8</w:t>
      </w:r>
      <w:r>
        <w:rPr>
          <w:sz w:val="28"/>
          <w:szCs w:val="28"/>
          <w:lang w:val="uk-UA"/>
        </w:rPr>
        <w:t xml:space="preserve">. Виробнича санітарія і гігієна праці.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Загальні поняття виробничої санітарії і гігієни праці.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Шкідливі виробничі фактори, джерела їх утворення, гранично допустимі рівні, можливий вплив на працівників.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Природне та штучне освітлення, вимоги до освітлення робочих місць. Опалення, вентиляція, кондиціювання виробничих приміщень.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Засоби індивідуального та колективного захисту працівників.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Заходи щодо зниження дії шкідливих виробничих факторів.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Медичні огляди працівників (попередні та періодичні).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Заходи особистої гігієни працюючих.</w:t>
      </w:r>
      <w:r/>
    </w:p>
    <w:p>
      <w:pPr>
        <w:pStyle w:val="597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7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Тема </w:t>
      </w:r>
      <w:r>
        <w:rPr>
          <w:sz w:val="28"/>
          <w:szCs w:val="28"/>
          <w:u w:val="single"/>
          <w:lang w:val="uk-UA"/>
        </w:rPr>
        <w:t xml:space="preserve">9</w:t>
      </w:r>
      <w:r>
        <w:rPr>
          <w:sz w:val="28"/>
          <w:szCs w:val="28"/>
          <w:u w:val="single"/>
          <w:lang w:val="uk-UA"/>
        </w:rPr>
        <w:t xml:space="preserve">.</w:t>
      </w:r>
      <w:r>
        <w:rPr>
          <w:sz w:val="28"/>
          <w:szCs w:val="28"/>
          <w:lang w:val="uk-UA"/>
        </w:rPr>
        <w:t xml:space="preserve"> Надання першої допомоги потерпілим при нещасних випадках.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Поняття першої допомоги. Основні принципи надання першої допомоги.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Дії працівників при нещасному випадку на   виробництві.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Перша допомога при кровотечі. Класифікація кровотечі. Основні види кровотечі та їх    ознаки . Перша допо</w:t>
      </w:r>
      <w:r>
        <w:rPr>
          <w:sz w:val="28"/>
          <w:szCs w:val="28"/>
          <w:lang w:val="uk-UA"/>
        </w:rPr>
        <w:t xml:space="preserve">мога при капілярній кровотечі. Перша допомога при венозній та артеріальній кровотечах. Засоби зупинки кровотечі. Зупинка кровотечі притискуванням пошкодженої судини до підлеглої кістки, максимальним згинанням кінцівки. Зупинка кровотечі з допомогою джгута.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Види електротравм. Безпечні методи звільнення потерпілого від дії електричного струму. Перша допомога потерпілим при враженні електрострумом. Способи реанімації, підготовка потерпілого до реанімації. Штучне дихання, непрямий (закритий) масаж серця.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Класифікація опіків. Надання першої допомоги при опіках.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Перша допомога при пораненнях, переломах, вивихах.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Перша допомога при обмороженнях, теплових і сонячних ударах.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Надання першої допомоги при отруєннях.</w:t>
      </w:r>
      <w:r/>
    </w:p>
    <w:p>
      <w:pPr>
        <w:pStyle w:val="597"/>
        <w:ind w:firstLine="708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Аптечка першої медичної допомоги, її склад.</w:t>
      </w:r>
      <w:r/>
    </w:p>
    <w:p>
      <w:pPr>
        <w:pStyle w:val="597"/>
        <w:jc w:val="both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597"/>
        <w:jc w:val="both"/>
        <w:widowControl w:val="off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</w:t>
      </w:r>
      <w:r>
        <w:rPr>
          <w:sz w:val="28"/>
          <w:szCs w:val="28"/>
        </w:rPr>
      </w:r>
      <w:r/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6" w:h="16838" w:orient="portrait"/>
      <w:pgMar w:top="1134" w:right="567" w:bottom="1134" w:left="1701" w:header="720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  <w:jc w:val="center"/>
    </w:pPr>
    <w:fldSimple w:instr="PAGE \* MERGEFORMAT">
      <w:r>
        <w:t xml:space="preserve">1</w:t>
      </w:r>
    </w:fldSimple>
    <w:r/>
    <w:r/>
  </w:p>
  <w:p>
    <w:pPr>
      <w:pStyle w:val="40"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</w:pPr>
    <w:r/>
    <w:r/>
  </w:p>
</w:hdr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8"/>
    <w:next w:val="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8"/>
    <w:next w:val="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8"/>
    <w:next w:val="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8"/>
    <w:next w:val="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8"/>
    <w:next w:val="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8"/>
    <w:next w:val="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"/>
    <w:next w:val="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"/>
    <w:next w:val="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"/>
    <w:next w:val="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8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8"/>
    <w:next w:val="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8"/>
    <w:next w:val="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8"/>
    <w:next w:val="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"/>
    <w:next w:val="8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8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8"/>
    <w:next w:val="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2">
    <w:name w:val="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53">
    <w:name w:val="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54">
    <w:name w:val="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55">
    <w:name w:val="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56">
    <w:name w:val="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57">
    <w:name w:val="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58">
    <w:name w:val="Bordered &amp; 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9">
    <w:name w:val="Bordered &amp; 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60">
    <w:name w:val="Bordered &amp; 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61">
    <w:name w:val="Bordered &amp; 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62">
    <w:name w:val="Bordered &amp; 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63">
    <w:name w:val="Bordered &amp; 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64">
    <w:name w:val="Bordered &amp; 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65">
    <w:name w:val="Bordered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8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8"/>
    <w:next w:val="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"/>
    <w:next w:val="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"/>
    <w:next w:val="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"/>
    <w:next w:val="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"/>
    <w:next w:val="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"/>
    <w:next w:val="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"/>
    <w:next w:val="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"/>
    <w:next w:val="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"/>
    <w:next w:val="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"/>
    <w:next w:val="8"/>
    <w:uiPriority w:val="99"/>
    <w:unhideWhenUsed/>
    <w:pPr>
      <w:spacing w:after="0" w:afterAutospacing="0"/>
    </w:pPr>
  </w:style>
  <w:style w:type="paragraph" w:styleId="597">
    <w:name w:val="Обычный"/>
    <w:next w:val="597"/>
    <w:link w:val="597"/>
    <w:rPr>
      <w:sz w:val="24"/>
      <w:szCs w:val="24"/>
      <w:lang w:val="ru-RU" w:bidi="ar-SA" w:eastAsia="zh-CN"/>
    </w:rPr>
  </w:style>
  <w:style w:type="paragraph" w:styleId="598">
    <w:name w:val="Заголовок 1"/>
    <w:basedOn w:val="597"/>
    <w:next w:val="597"/>
    <w:link w:val="597"/>
    <w:rPr>
      <w:rFonts w:ascii="Arial" w:hAnsi="Arial"/>
      <w:b/>
      <w:bCs/>
      <w:lang w:val="uk-UA" w:eastAsia="ru-RU"/>
    </w:rPr>
    <w:pPr>
      <w:jc w:val="center"/>
      <w:keepNext/>
      <w:outlineLvl w:val="0"/>
    </w:pPr>
  </w:style>
  <w:style w:type="character" w:styleId="599">
    <w:name w:val="Основной шрифт абзаца"/>
    <w:next w:val="599"/>
    <w:link w:val="597"/>
    <w:semiHidden/>
  </w:style>
  <w:style w:type="table" w:styleId="600">
    <w:name w:val="Обычная таблица"/>
    <w:next w:val="600"/>
    <w:link w:val="597"/>
    <w:semiHidden/>
    <w:tblPr/>
  </w:style>
  <w:style w:type="numbering" w:styleId="601">
    <w:name w:val="Нет списка"/>
    <w:next w:val="601"/>
    <w:link w:val="597"/>
    <w:semiHidden/>
  </w:style>
  <w:style w:type="character" w:styleId="602">
    <w:name w:val="Основной шрифт абзаца1"/>
    <w:next w:val="602"/>
    <w:link w:val="597"/>
  </w:style>
  <w:style w:type="paragraph" w:styleId="604">
    <w:name w:val="Основной текст"/>
    <w:basedOn w:val="597"/>
    <w:next w:val="604"/>
    <w:link w:val="597"/>
    <w:pPr>
      <w:spacing w:after="120" w:before="0"/>
    </w:pPr>
  </w:style>
  <w:style w:type="paragraph" w:styleId="605">
    <w:name w:val="Список"/>
    <w:basedOn w:val="604"/>
    <w:next w:val="605"/>
    <w:link w:val="597"/>
  </w:style>
  <w:style w:type="paragraph" w:styleId="606">
    <w:name w:val="Название объекта"/>
    <w:basedOn w:val="597"/>
    <w:next w:val="606"/>
    <w:link w:val="597"/>
    <w:rPr>
      <w:i/>
      <w:iCs/>
      <w:sz w:val="24"/>
      <w:szCs w:val="24"/>
    </w:rPr>
    <w:pPr>
      <w:spacing w:after="120" w:before="120"/>
      <w:suppressLineNumbers/>
    </w:pPr>
  </w:style>
  <w:style w:type="paragraph" w:styleId="607">
    <w:name w:val="Указатель1"/>
    <w:basedOn w:val="597"/>
    <w:next w:val="607"/>
    <w:link w:val="597"/>
    <w:pPr>
      <w:suppressLineNumbers/>
    </w:pPr>
  </w:style>
  <w:style w:type="paragraph" w:styleId="608">
    <w:name w:val="Название"/>
    <w:basedOn w:val="597"/>
    <w:next w:val="608"/>
    <w:link w:val="609"/>
    <w:rPr>
      <w:b/>
      <w:bCs/>
      <w:color w:val="000000"/>
      <w:spacing w:val="-16"/>
      <w:position w:val="1"/>
      <w:sz w:val="46"/>
      <w:szCs w:val="46"/>
      <w:lang w:val="uk-UA" w:eastAsia="en-US"/>
    </w:rPr>
    <w:pPr>
      <w:ind w:left="19" w:firstLine="832"/>
      <w:jc w:val="center"/>
      <w:keepNext/>
      <w:spacing w:lineRule="exact" w:line="408"/>
      <w:shd w:val="clear" w:fill="FFFFFF" w:color="auto"/>
    </w:pPr>
  </w:style>
  <w:style w:type="character" w:styleId="609">
    <w:name w:val="Название Знак"/>
    <w:next w:val="609"/>
    <w:link w:val="608"/>
    <w:rPr>
      <w:b/>
      <w:bCs/>
      <w:color w:val="000000"/>
      <w:spacing w:val="-16"/>
      <w:position w:val="1"/>
      <w:sz w:val="24"/>
      <w:szCs w:val="46"/>
      <w:shd w:val="clear" w:fill="FFFFFF" w:color="auto"/>
      <w:lang w:val="uk-UA"/>
    </w:rPr>
  </w:style>
  <w:style w:type="paragraph" w:styleId="610">
    <w:name w:val="Подзаголовок"/>
    <w:basedOn w:val="597"/>
    <w:next w:val="610"/>
    <w:link w:val="597"/>
    <w:rPr>
      <w:sz w:val="32"/>
      <w:lang w:val="uk-UA" w:eastAsia="ru-RU"/>
    </w:rPr>
    <w:pPr>
      <w:jc w:val="center"/>
    </w:pPr>
  </w:style>
  <w:style w:type="character" w:styleId="1057" w:default="1">
    <w:name w:val="Default Paragraph Font"/>
    <w:uiPriority w:val="1"/>
    <w:semiHidden/>
    <w:unhideWhenUsed/>
  </w:style>
  <w:style w:type="numbering" w:styleId="1058" w:default="1">
    <w:name w:val="No List"/>
    <w:uiPriority w:val="99"/>
    <w:semiHidden/>
    <w:unhideWhenUsed/>
  </w:style>
  <w:style w:type="paragraph" w:styleId="1059" w:default="1">
    <w:name w:val="Normal"/>
    <w:qFormat/>
  </w:style>
  <w:style w:type="table" w:styleId="1060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Жураковська Альона Володимирівна</cp:lastModifiedBy>
  <cp:revision>1</cp:revision>
  <dcterms:modified xsi:type="dcterms:W3CDTF">2021-12-05T12:40:35Z</dcterms:modified>
</cp:coreProperties>
</file>