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23"/>
        <w:jc w:val="center"/>
        <w:rPr>
          <w:color w:val="000000"/>
        </w:rPr>
        <w:pBdr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between w:val="none" w:color="000000" w:sz="0" w:space="0"/>
        </w:pBdr>
      </w:pPr>
      <w:r>
        <w:rPr>
          <w:color w:val="000000"/>
          <w:lang w:val="en-US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429768" cy="603504"/>
                <wp:effectExtent l="0" t="0" r="0" b="0"/>
                <wp:docPr id="1" name="" hidden="false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" hidden="0"/>
                        <pic:cNvPicPr/>
                        <pic:nvPr isPhoto="0" userDrawn="0"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429768" cy="60350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mso-wrap-distance-left:0.0pt;mso-wrap-distance-top:0.0pt;mso-wrap-distance-right:0.0pt;mso-wrap-distance-bottom:0.0pt;width:33.8pt;height:47.5pt;" stroked="f">
                <v:path textboxrect="0,0,0,0"/>
                <v:imagedata r:id="rId10" o:title=""/>
              </v:shape>
            </w:pict>
          </mc:Fallback>
        </mc:AlternateContent>
      </w:r>
      <w:r>
        <w:rPr>
          <w:color w:val="000000"/>
        </w:rPr>
      </w:r>
      <w:r/>
    </w:p>
    <w:p>
      <w:pPr>
        <w:pStyle w:val="823"/>
        <w:jc w:val="center"/>
        <w:rPr>
          <w:rFonts w:ascii="Times New Roman" w:hAnsi="Times New Roman"/>
          <w:color w:val="000000"/>
          <w:sz w:val="28"/>
          <w:szCs w:val="28"/>
        </w:rPr>
        <w:pBdr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between w:val="none" w:color="000000" w:sz="0" w:space="0"/>
        </w:pBdr>
      </w:pPr>
      <w:r>
        <w:rPr>
          <w:rFonts w:ascii="Times New Roman" w:hAnsi="Times New Roman"/>
          <w:color w:val="000000"/>
          <w:sz w:val="28"/>
          <w:szCs w:val="28"/>
        </w:rPr>
      </w:r>
      <w:r/>
    </w:p>
    <w:p>
      <w:pPr>
        <w:pStyle w:val="823"/>
        <w:jc w:val="center"/>
        <w:rPr>
          <w:rFonts w:ascii="Times New Roman" w:hAnsi="Times New Roman"/>
          <w:b/>
          <w:color w:val="000000"/>
          <w:sz w:val="28"/>
          <w:szCs w:val="28"/>
        </w:rPr>
        <w:pBdr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between w:val="none" w:color="000000" w:sz="0" w:space="0"/>
        </w:pBdr>
      </w:pPr>
      <w:r>
        <w:rPr>
          <w:rFonts w:ascii="Times New Roman" w:hAnsi="Times New Roman"/>
          <w:b/>
          <w:color w:val="000000"/>
          <w:sz w:val="28"/>
          <w:szCs w:val="28"/>
          <w:lang w:bidi="hi-IN" w:eastAsia="hi-IN"/>
        </w:rPr>
        <w:t xml:space="preserve">МЕНСЬКА МІСЬКА РАДА</w:t>
      </w:r>
      <w:r>
        <w:rPr>
          <w:rFonts w:ascii="Times New Roman" w:hAnsi="Times New Roman"/>
          <w:b/>
          <w:color w:val="000000"/>
          <w:sz w:val="28"/>
          <w:szCs w:val="28"/>
        </w:rPr>
      </w:r>
      <w:r/>
    </w:p>
    <w:p>
      <w:pPr>
        <w:pStyle w:val="818"/>
        <w:jc w:val="center"/>
        <w:widowControl w:val="off"/>
        <w:rPr>
          <w:rFonts w:ascii="Times New Roman" w:hAnsi="Times New Roman"/>
          <w:color w:val="000000"/>
          <w:sz w:val="16"/>
          <w:szCs w:val="16"/>
        </w:rPr>
        <w:pBdr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between w:val="none" w:color="000000" w:sz="0" w:space="0"/>
        </w:pBdr>
      </w:pPr>
      <w:r>
        <w:rPr>
          <w:rFonts w:ascii="Times New Roman" w:hAnsi="Times New Roman"/>
          <w:color w:val="000000"/>
          <w:sz w:val="16"/>
          <w:szCs w:val="16"/>
        </w:rPr>
      </w:r>
      <w:r/>
    </w:p>
    <w:p>
      <w:pPr>
        <w:pStyle w:val="818"/>
        <w:jc w:val="center"/>
        <w:widowControl w:val="off"/>
        <w:rPr>
          <w:rFonts w:ascii="Times New Roman" w:hAnsi="Times New Roman"/>
          <w:color w:val="000000"/>
          <w:sz w:val="28"/>
          <w:szCs w:val="28"/>
        </w:rPr>
        <w:pBdr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between w:val="none" w:color="000000" w:sz="0" w:space="0"/>
        </w:pBdr>
      </w:pPr>
      <w:r>
        <w:rPr>
          <w:rFonts w:ascii="Times New Roman" w:hAnsi="Times New Roman"/>
          <w:b/>
          <w:color w:val="000000"/>
          <w:sz w:val="28"/>
          <w:szCs w:val="28"/>
          <w:lang w:bidi="hi-IN" w:eastAsia="hi-IN"/>
        </w:rPr>
        <w:t xml:space="preserve">РОЗПОРЯДЖЕННЯ </w:t>
      </w:r>
      <w:r>
        <w:rPr>
          <w:rFonts w:ascii="Times New Roman" w:hAnsi="Times New Roman"/>
          <w:color w:val="000000"/>
          <w:sz w:val="28"/>
          <w:szCs w:val="28"/>
        </w:rPr>
      </w:r>
      <w:r/>
    </w:p>
    <w:p>
      <w:pPr>
        <w:pStyle w:val="818"/>
        <w:widowControl w:val="off"/>
        <w:tabs>
          <w:tab w:val="left" w:pos="4535" w:leader="none"/>
          <w:tab w:val="left" w:pos="7371" w:leader="none"/>
          <w:tab w:val="left" w:pos="7513" w:leader="none"/>
        </w:tabs>
        <w:rPr>
          <w:rFonts w:ascii="Times New Roman" w:hAnsi="Times New Roman"/>
          <w:color w:val="000000"/>
          <w:sz w:val="28"/>
          <w:szCs w:val="28"/>
        </w:rPr>
        <w:pBdr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between w:val="none" w:color="000000" w:sz="0" w:space="0"/>
        </w:pBdr>
      </w:pPr>
      <w:r>
        <w:rPr>
          <w:rFonts w:ascii="Times New Roman" w:hAnsi="Times New Roman"/>
          <w:color w:val="000000"/>
          <w:sz w:val="28"/>
          <w:szCs w:val="28"/>
        </w:rPr>
      </w:r>
      <w:r/>
    </w:p>
    <w:p>
      <w:pPr>
        <w:pStyle w:val="818"/>
        <w:jc w:val="both"/>
        <w:widowControl w:val="off"/>
        <w:tabs>
          <w:tab w:val="left" w:pos="4395" w:leader="none"/>
          <w:tab w:val="left" w:pos="7370" w:leader="none"/>
          <w:tab w:val="left" w:pos="9498" w:leader="none"/>
        </w:tabs>
        <w:rPr>
          <w:rFonts w:ascii="Times New Roman" w:hAnsi="Times New Roman"/>
          <w:color w:val="000000"/>
          <w:sz w:val="28"/>
          <w:szCs w:val="28"/>
        </w:rPr>
        <w:pBdr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between w:val="none" w:color="000000" w:sz="0" w:space="0"/>
        </w:pBdr>
      </w:pPr>
      <w:r>
        <w:rPr>
          <w:rFonts w:ascii="Times New Roman" w:hAnsi="Times New Roman"/>
          <w:color w:val="000000"/>
          <w:sz w:val="28"/>
          <w:szCs w:val="28"/>
          <w:lang w:val="ru-RU" w:bidi="hi-IN" w:eastAsia="hi-IN"/>
        </w:rPr>
        <w:t xml:space="preserve">26 листопада</w:t>
      </w:r>
      <w:r>
        <w:rPr>
          <w:rFonts w:ascii="Times New Roman" w:hAnsi="Times New Roman"/>
          <w:color w:val="000000"/>
          <w:sz w:val="28"/>
          <w:szCs w:val="28"/>
          <w:lang w:val="ru-RU" w:bidi="hi-IN" w:eastAsia="hi-IN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bidi="hi-IN" w:eastAsia="hi-IN"/>
        </w:rPr>
        <w:t xml:space="preserve">2021 року</w:t>
        <w:tab/>
        <w:t xml:space="preserve">м.</w:t>
      </w:r>
      <w:r>
        <w:rPr>
          <w:rFonts w:ascii="Times New Roman" w:hAnsi="Times New Roman"/>
          <w:color w:val="000000"/>
          <w:sz w:val="28"/>
          <w:szCs w:val="28"/>
          <w:lang w:val="ru-RU" w:bidi="hi-IN" w:eastAsia="hi-IN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bidi="hi-IN" w:eastAsia="hi-IN"/>
        </w:rPr>
        <w:t xml:space="preserve">Мена</w:t>
        <w:tab/>
        <w:t xml:space="preserve">№ </w:t>
      </w:r>
      <w:r>
        <w:rPr>
          <w:rFonts w:ascii="Times New Roman" w:hAnsi="Times New Roman"/>
          <w:color w:val="000000"/>
          <w:sz w:val="28"/>
          <w:szCs w:val="28"/>
        </w:rPr>
        <w:t xml:space="preserve">430</w:t>
      </w:r>
      <w:r/>
    </w:p>
    <w:p>
      <w:pPr>
        <w:pStyle w:val="818"/>
        <w:rPr>
          <w:rFonts w:ascii="Times New Roman" w:hAnsi="Times New Roman"/>
          <w:sz w:val="28"/>
          <w:szCs w:val="28"/>
        </w:rPr>
        <w:pBdr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between w:val="none" w:color="000000" w:sz="0" w:space="0"/>
        </w:pBdr>
      </w:pPr>
      <w:r>
        <w:rPr>
          <w:rFonts w:ascii="Times New Roman" w:hAnsi="Times New Roman"/>
          <w:sz w:val="28"/>
          <w:szCs w:val="28"/>
        </w:rPr>
      </w:r>
      <w:r/>
    </w:p>
    <w:p>
      <w:pPr>
        <w:pStyle w:val="818"/>
        <w:ind w:right="4960"/>
        <w:jc w:val="both"/>
        <w:rPr>
          <w:rFonts w:ascii="Times New Roman" w:hAnsi="Times New Roman"/>
          <w:b/>
          <w:sz w:val="28"/>
          <w:szCs w:val="28"/>
        </w:rPr>
        <w:pBdr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between w:val="none" w:color="000000" w:sz="0" w:space="0"/>
        </w:pBdr>
      </w:pPr>
      <w:r>
        <w:rPr>
          <w:rFonts w:ascii="Times New Roman" w:hAnsi="Times New Roman"/>
          <w:b/>
          <w:sz w:val="28"/>
          <w:szCs w:val="28"/>
        </w:rPr>
        <w:t xml:space="preserve">Про затвердження комісії по </w:t>
      </w:r>
      <w:r>
        <w:rPr>
          <w:rFonts w:ascii="Times New Roman" w:hAnsi="Times New Roman"/>
          <w:b/>
          <w:sz w:val="28"/>
          <w:szCs w:val="28"/>
        </w:rPr>
        <w:t xml:space="preserve">інвентаризації земель лісового фонду та лісових ресурсів у новому складі</w:t>
      </w:r>
      <w:r>
        <w:rPr>
          <w:rFonts w:ascii="Times New Roman" w:hAnsi="Times New Roman"/>
          <w:b/>
          <w:sz w:val="28"/>
          <w:szCs w:val="28"/>
        </w:rPr>
      </w:r>
      <w:r/>
    </w:p>
    <w:p>
      <w:pPr>
        <w:pStyle w:val="818"/>
        <w:rPr>
          <w:rFonts w:ascii="Times New Roman" w:hAnsi="Times New Roman"/>
          <w:sz w:val="28"/>
          <w:szCs w:val="28"/>
        </w:rPr>
        <w:pBdr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between w:val="none" w:color="000000" w:sz="0" w:space="0"/>
        </w:pBdr>
      </w:pPr>
      <w:r>
        <w:rPr>
          <w:rFonts w:ascii="Times New Roman" w:hAnsi="Times New Roman"/>
          <w:sz w:val="28"/>
          <w:szCs w:val="28"/>
        </w:rPr>
      </w:r>
      <w:r/>
    </w:p>
    <w:p>
      <w:pPr>
        <w:pStyle w:val="818"/>
        <w:ind w:firstLine="567"/>
        <w:jc w:val="both"/>
        <w:rPr>
          <w:rFonts w:ascii="Times New Roman" w:hAnsi="Times New Roman"/>
          <w:sz w:val="28"/>
          <w:szCs w:val="28"/>
        </w:rPr>
        <w:pBdr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between w:val="none" w:color="000000" w:sz="0" w:space="0"/>
        </w:pBd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  <w:t xml:space="preserve">З метою проведення інвентаризації земель лісового фонду та лісових ресурсів, в</w:t>
      </w:r>
      <w:r>
        <w:rPr>
          <w:rFonts w:ascii="Times New Roman" w:hAnsi="Times New Roman"/>
          <w:sz w:val="28"/>
          <w:szCs w:val="28"/>
        </w:rPr>
        <w:t xml:space="preserve">раховуючи розпорядження голови Чернігівської обласної державної адміністрації </w:t>
      </w:r>
      <w:r>
        <w:rPr>
          <w:rFonts w:ascii="Times New Roman" w:hAnsi="Times New Roman"/>
          <w:sz w:val="28"/>
          <w:szCs w:val="28"/>
        </w:rPr>
        <w:t xml:space="preserve">від 29.07.2021 № 806 «Про утворення комісії з інвентаризації земель водного та лісового фондів, водних об’єктів, лісових ресурсів, об’єктів державної та комунальної власності», керуючись пунктом 24 Розділу Х «Перехідні положення» Земельного кодексу України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(зі змінами), статтею 50 Закону України </w:t>
      </w:r>
      <w:r>
        <w:rPr>
          <w:rFonts w:ascii="Times New Roman" w:hAnsi="Times New Roman"/>
          <w:sz w:val="28"/>
          <w:szCs w:val="28"/>
        </w:rPr>
        <w:t xml:space="preserve">«Про місцеве самоврядування в Україні</w:t>
      </w:r>
      <w:r>
        <w:rPr>
          <w:rFonts w:ascii="Times New Roman" w:hAnsi="Times New Roman"/>
          <w:sz w:val="28"/>
          <w:szCs w:val="28"/>
        </w:rPr>
        <w:t xml:space="preserve">»</w:t>
      </w:r>
      <w:r>
        <w:rPr>
          <w:rFonts w:ascii="Times New Roman" w:hAnsi="Times New Roman"/>
          <w:sz w:val="28"/>
          <w:szCs w:val="28"/>
        </w:rPr>
        <w:t xml:space="preserve">:</w:t>
      </w:r>
      <w:r>
        <w:rPr>
          <w:rFonts w:ascii="Times New Roman" w:hAnsi="Times New Roman"/>
          <w:sz w:val="28"/>
          <w:szCs w:val="28"/>
          <w:highlight w:val="none"/>
        </w:rPr>
      </w:r>
      <w:r/>
    </w:p>
    <w:p>
      <w:pPr>
        <w:pStyle w:val="822"/>
        <w:numPr>
          <w:ilvl w:val="0"/>
          <w:numId w:val="1"/>
        </w:numPr>
        <w:ind w:left="0" w:firstLine="567"/>
        <w:jc w:val="both"/>
        <w:tabs>
          <w:tab w:val="left" w:pos="851" w:leader="none"/>
        </w:tabs>
        <w:rPr>
          <w:rFonts w:ascii="Times New Roman" w:hAnsi="Times New Roman"/>
          <w:sz w:val="28"/>
          <w:szCs w:val="28"/>
        </w:rPr>
        <w:pBdr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between w:val="none" w:color="000000" w:sz="0" w:space="0"/>
        </w:pBdr>
      </w:pPr>
      <w:r>
        <w:rPr>
          <w:rFonts w:ascii="Times New Roman" w:hAnsi="Times New Roman"/>
          <w:sz w:val="28"/>
          <w:szCs w:val="28"/>
        </w:rPr>
        <w:t xml:space="preserve">Затвердити </w:t>
      </w:r>
      <w:r>
        <w:rPr>
          <w:rFonts w:ascii="Times New Roman" w:hAnsi="Times New Roman"/>
          <w:sz w:val="28"/>
          <w:szCs w:val="28"/>
        </w:rPr>
        <w:t xml:space="preserve">комісію по інвентаризації з</w:t>
      </w:r>
      <w:r>
        <w:rPr>
          <w:rFonts w:ascii="Times New Roman" w:hAnsi="Times New Roman"/>
          <w:sz w:val="28"/>
          <w:szCs w:val="28"/>
        </w:rPr>
        <w:t xml:space="preserve">емель лісового фонду та лісових ресурсів Менської територіальної громади</w:t>
      </w:r>
      <w:r>
        <w:rPr>
          <w:rFonts w:ascii="Times New Roman" w:hAnsi="Times New Roman"/>
          <w:sz w:val="28"/>
          <w:szCs w:val="28"/>
        </w:rPr>
        <w:t xml:space="preserve"> у новому складі:</w:t>
      </w:r>
      <w:r>
        <w:rPr>
          <w:rFonts w:ascii="Times New Roman" w:hAnsi="Times New Roman"/>
          <w:sz w:val="28"/>
          <w:szCs w:val="28"/>
        </w:rPr>
      </w:r>
      <w:r/>
    </w:p>
    <w:tbl>
      <w:tblPr>
        <w:tblW w:w="0" w:type="auto"/>
        <w:tblInd w:w="108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3544"/>
        <w:gridCol w:w="6094"/>
      </w:tblGrid>
      <w:tr>
        <w:trPr>
          <w:trHeight w:val="372"/>
        </w:trPr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544" w:type="dxa"/>
            <w:vAlign w:val="top"/>
            <w:textDirection w:val="lrTb"/>
            <w:noWrap w:val="false"/>
          </w:tcPr>
          <w:p>
            <w:pPr>
              <w:pStyle w:val="822"/>
              <w:ind w:left="0"/>
              <w:rPr>
                <w:rFonts w:ascii="Times New Roman" w:hAnsi="Times New Roman"/>
                <w:sz w:val="28"/>
                <w:szCs w:val="28"/>
              </w:rPr>
              <w:pBdr>
                <w:left w:val="none" w:color="000000" w:sz="0" w:space="0"/>
                <w:top w:val="none" w:color="000000" w:sz="0" w:space="0"/>
                <w:right w:val="none" w:color="000000" w:sz="0" w:space="0"/>
                <w:bottom w:val="none" w:color="000000" w:sz="0" w:space="0"/>
                <w:between w:val="none" w:color="000000" w:sz="0" w:space="0"/>
              </w:pBd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ГНИП </w:t>
              <w:br/>
              <w:t xml:space="preserve">Володимир Іванович</w:t>
            </w:r>
            <w:r/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6094" w:type="dxa"/>
            <w:vAlign w:val="top"/>
            <w:textDirection w:val="lrTb"/>
            <w:noWrap w:val="false"/>
          </w:tcPr>
          <w:p>
            <w:pPr>
              <w:pStyle w:val="822"/>
              <w:numPr>
                <w:ilvl w:val="0"/>
                <w:numId w:val="3"/>
              </w:numPr>
              <w:ind w:left="0" w:firstLine="213"/>
              <w:jc w:val="both"/>
              <w:rPr>
                <w:rFonts w:ascii="Times New Roman" w:hAnsi="Times New Roman"/>
                <w:sz w:val="28"/>
                <w:szCs w:val="28"/>
              </w:rPr>
              <w:pBdr>
                <w:left w:val="none" w:color="000000" w:sz="0" w:space="0"/>
                <w:top w:val="none" w:color="000000" w:sz="0" w:space="0"/>
                <w:right w:val="none" w:color="000000" w:sz="0" w:space="0"/>
                <w:bottom w:val="none" w:color="000000" w:sz="0" w:space="0"/>
                <w:between w:val="none" w:color="000000" w:sz="0" w:space="0"/>
              </w:pBd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заступник міського голови з питань діяльності виконавчих органів ради, голова комісії;</w:t>
            </w:r>
            <w:r/>
          </w:p>
        </w:tc>
      </w:tr>
      <w:tr>
        <w:trPr/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544" w:type="dxa"/>
            <w:vAlign w:val="top"/>
            <w:vMerge w:val="restart"/>
            <w:textDirection w:val="lrTb"/>
            <w:noWrap w:val="false"/>
          </w:tcPr>
          <w:p>
            <w:pPr>
              <w:pStyle w:val="822"/>
              <w:ind w:left="0"/>
              <w:jc w:val="both"/>
              <w:rPr>
                <w:rFonts w:ascii="Times New Roman" w:hAnsi="Times New Roman"/>
              </w:rPr>
              <w:pBdr>
                <w:left w:val="none" w:color="000000" w:sz="0" w:space="0"/>
                <w:top w:val="none" w:color="000000" w:sz="0" w:space="0"/>
                <w:right w:val="none" w:color="000000" w:sz="0" w:space="0"/>
                <w:bottom w:val="none" w:color="000000" w:sz="0" w:space="0"/>
                <w:between w:val="none" w:color="000000" w:sz="0" w:space="0"/>
              </w:pBd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ТЕРЕНТІЄВ</w:t>
            </w: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  <w:p>
            <w:pPr>
              <w:pStyle w:val="822"/>
              <w:ind w:left="0"/>
              <w:jc w:val="both"/>
              <w:rPr>
                <w:rFonts w:ascii="Times New Roman" w:hAnsi="Times New Roman"/>
              </w:rPr>
              <w:pBdr>
                <w:left w:val="none" w:color="000000" w:sz="0" w:space="0"/>
                <w:top w:val="none" w:color="000000" w:sz="0" w:space="0"/>
                <w:right w:val="none" w:color="000000" w:sz="0" w:space="0"/>
                <w:bottom w:val="none" w:color="000000" w:sz="0" w:space="0"/>
                <w:between w:val="none" w:color="000000" w:sz="0" w:space="0"/>
              </w:pBd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Павло Олександрович</w:t>
            </w: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6094" w:type="dxa"/>
            <w:vAlign w:val="top"/>
            <w:vMerge w:val="restart"/>
            <w:textDirection w:val="lrTb"/>
            <w:noWrap w:val="false"/>
          </w:tcPr>
          <w:p>
            <w:pPr>
              <w:pStyle w:val="822"/>
              <w:numPr>
                <w:ilvl w:val="0"/>
                <w:numId w:val="4"/>
              </w:numPr>
              <w:ind w:left="-52" w:firstLine="52"/>
              <w:jc w:val="both"/>
              <w:rPr>
                <w:rFonts w:ascii="Times New Roman" w:hAnsi="Times New Roman"/>
              </w:rPr>
              <w:pBdr>
                <w:left w:val="none" w:color="000000" w:sz="0" w:space="0"/>
                <w:top w:val="none" w:color="000000" w:sz="0" w:space="0"/>
                <w:right w:val="none" w:color="000000" w:sz="0" w:space="0"/>
                <w:bottom w:val="none" w:color="000000" w:sz="0" w:space="0"/>
                <w:between w:val="none" w:color="000000" w:sz="0" w:space="0"/>
              </w:pBd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начальник відділу земельних відносин, агропромислового комплексу та екології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член комісії, заступник голови комісії;</w:t>
            </w: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</w:tr>
      <w:tr>
        <w:trPr/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544" w:type="dxa"/>
            <w:vAlign w:val="top"/>
            <w:vMerge w:val="restart"/>
            <w:textDirection w:val="lrTb"/>
            <w:noWrap w:val="false"/>
          </w:tcPr>
          <w:p>
            <w:pPr>
              <w:pStyle w:val="822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  <w:pBdr>
                <w:left w:val="none" w:color="000000" w:sz="0" w:space="0"/>
                <w:top w:val="none" w:color="000000" w:sz="0" w:space="0"/>
                <w:right w:val="none" w:color="000000" w:sz="0" w:space="0"/>
                <w:bottom w:val="none" w:color="000000" w:sz="0" w:space="0"/>
                <w:between w:val="none" w:color="000000" w:sz="0" w:space="0"/>
              </w:pBd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МОРОЗ</w:t>
              <w:br/>
              <w:t xml:space="preserve">Тетяна Олексіївна</w:t>
            </w: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6094" w:type="dxa"/>
            <w:vAlign w:val="top"/>
            <w:vMerge w:val="restart"/>
            <w:textDirection w:val="lrTb"/>
            <w:noWrap w:val="false"/>
          </w:tcPr>
          <w:p>
            <w:pPr>
              <w:pStyle w:val="822"/>
              <w:numPr>
                <w:ilvl w:val="0"/>
                <w:numId w:val="2"/>
              </w:numPr>
              <w:ind w:left="30" w:hanging="30"/>
              <w:jc w:val="both"/>
              <w:rPr>
                <w:rFonts w:ascii="Times New Roman" w:hAnsi="Times New Roman"/>
                <w:sz w:val="28"/>
                <w:szCs w:val="28"/>
              </w:rPr>
              <w:pBdr>
                <w:left w:val="none" w:color="000000" w:sz="0" w:space="0"/>
                <w:top w:val="none" w:color="000000" w:sz="0" w:space="0"/>
                <w:right w:val="none" w:color="000000" w:sz="0" w:space="0"/>
                <w:bottom w:val="none" w:color="000000" w:sz="0" w:space="0"/>
                <w:between w:val="none" w:color="000000" w:sz="0" w:space="0"/>
              </w:pBd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провідний спеціаліст відділу земельних відносин, агропромислового комплексу та екології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секретар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комісії;</w:t>
            </w: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</w:tr>
      <w:tr>
        <w:trPr/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544" w:type="dxa"/>
            <w:vAlign w:val="top"/>
            <w:textDirection w:val="lrTb"/>
            <w:noWrap w:val="false"/>
          </w:tcPr>
          <w:p>
            <w:pPr>
              <w:pStyle w:val="822"/>
              <w:ind w:left="0"/>
              <w:rPr>
                <w:rFonts w:ascii="Times New Roman" w:hAnsi="Times New Roman"/>
                <w:sz w:val="28"/>
                <w:szCs w:val="28"/>
              </w:rPr>
              <w:pBdr>
                <w:left w:val="none" w:color="000000" w:sz="0" w:space="0"/>
                <w:top w:val="none" w:color="000000" w:sz="0" w:space="0"/>
                <w:right w:val="none" w:color="000000" w:sz="0" w:space="0"/>
                <w:bottom w:val="none" w:color="000000" w:sz="0" w:space="0"/>
                <w:between w:val="none" w:color="000000" w:sz="0" w:space="0"/>
              </w:pBd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КРАВЦОВ</w:t>
              <w:br/>
              <w:t xml:space="preserve">Валерій Ми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хайлович</w:t>
            </w:r>
            <w:r/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6094" w:type="dxa"/>
            <w:vAlign w:val="top"/>
            <w:textDirection w:val="lrTb"/>
            <w:noWrap w:val="false"/>
          </w:tcPr>
          <w:p>
            <w:pPr>
              <w:pStyle w:val="822"/>
              <w:numPr>
                <w:ilvl w:val="0"/>
                <w:numId w:val="2"/>
              </w:numPr>
              <w:ind w:left="69" w:firstLine="0"/>
              <w:jc w:val="both"/>
              <w:rPr>
                <w:rFonts w:ascii="Times New Roman" w:hAnsi="Times New Roman"/>
                <w:sz w:val="28"/>
                <w:szCs w:val="28"/>
              </w:rPr>
              <w:pBdr>
                <w:left w:val="none" w:color="000000" w:sz="0" w:space="0"/>
                <w:top w:val="none" w:color="000000" w:sz="0" w:space="0"/>
                <w:right w:val="none" w:color="000000" w:sz="0" w:space="0"/>
                <w:bottom w:val="none" w:color="000000" w:sz="0" w:space="0"/>
                <w:between w:val="none" w:color="000000" w:sz="0" w:space="0"/>
              </w:pBd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начальник відділу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житлово-комунального господарства, енергоефективності та комунального майна</w:t>
            </w:r>
            <w:bookmarkStart w:id="0" w:name="_GoBack"/>
            <w:r/>
            <w:bookmarkEnd w:id="0"/>
            <w:r>
              <w:rPr>
                <w:rFonts w:ascii="Times New Roman" w:hAnsi="Times New Roman"/>
                <w:sz w:val="28"/>
                <w:szCs w:val="28"/>
              </w:rPr>
              <w:t xml:space="preserve">;</w:t>
            </w:r>
            <w:r/>
          </w:p>
        </w:tc>
      </w:tr>
      <w:tr>
        <w:trPr/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544" w:type="dxa"/>
            <w:vAlign w:val="top"/>
            <w:textDirection w:val="lrTb"/>
            <w:noWrap w:val="false"/>
          </w:tcPr>
          <w:p>
            <w:pPr>
              <w:pStyle w:val="824"/>
              <w:spacing w:after="0" w:afterAutospacing="0" w:before="0" w:before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МАРЦЕВА</w:t>
              <w:br/>
              <w:t xml:space="preserve">Тетяна Іванівна</w:t>
            </w:r>
            <w:r/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6094" w:type="dxa"/>
            <w:vAlign w:val="top"/>
            <w:textDirection w:val="lrTb"/>
            <w:noWrap w:val="false"/>
          </w:tcPr>
          <w:p>
            <w:pPr>
              <w:pStyle w:val="822"/>
              <w:numPr>
                <w:ilvl w:val="0"/>
                <w:numId w:val="2"/>
              </w:numPr>
              <w:ind w:left="30" w:hanging="30"/>
              <w:jc w:val="both"/>
              <w:rPr>
                <w:rFonts w:ascii="Times New Roman" w:hAnsi="Times New Roman"/>
                <w:sz w:val="28"/>
                <w:szCs w:val="28"/>
              </w:rPr>
              <w:pBdr>
                <w:left w:val="none" w:color="000000" w:sz="0" w:space="0"/>
                <w:top w:val="none" w:color="000000" w:sz="0" w:space="0"/>
                <w:right w:val="none" w:color="000000" w:sz="0" w:space="0"/>
                <w:bottom w:val="none" w:color="000000" w:sz="0" w:space="0"/>
                <w:between w:val="none" w:color="000000" w:sz="0" w:space="0"/>
              </w:pBd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заступник начальника юридичного відділу, член комісії;</w:t>
            </w:r>
            <w:r/>
          </w:p>
        </w:tc>
      </w:tr>
      <w:tr>
        <w:trPr/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544" w:type="dxa"/>
            <w:vAlign w:val="top"/>
            <w:textDirection w:val="lrTb"/>
            <w:noWrap w:val="false"/>
          </w:tcPr>
          <w:p>
            <w:pPr>
              <w:pStyle w:val="822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  <w:pBdr>
                <w:left w:val="none" w:color="000000" w:sz="0" w:space="0"/>
                <w:top w:val="none" w:color="000000" w:sz="0" w:space="0"/>
                <w:right w:val="none" w:color="000000" w:sz="0" w:space="0"/>
                <w:bottom w:val="none" w:color="000000" w:sz="0" w:space="0"/>
                <w:between w:val="none" w:color="000000" w:sz="0" w:space="0"/>
              </w:pBd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БУРДУКАЛО</w:t>
              <w:br/>
              <w:t xml:space="preserve">Сергій Володимирович</w:t>
            </w: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6094" w:type="dxa"/>
            <w:vAlign w:val="top"/>
            <w:textDirection w:val="lrTb"/>
            <w:noWrap w:val="false"/>
          </w:tcPr>
          <w:p>
            <w:pPr>
              <w:pStyle w:val="822"/>
              <w:numPr>
                <w:ilvl w:val="0"/>
                <w:numId w:val="2"/>
              </w:numPr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  <w:pBdr>
                <w:left w:val="none" w:color="000000" w:sz="0" w:space="0"/>
                <w:top w:val="none" w:color="000000" w:sz="0" w:space="0"/>
                <w:right w:val="none" w:color="000000" w:sz="0" w:space="0"/>
                <w:bottom w:val="none" w:color="000000" w:sz="0" w:space="0"/>
                <w:between w:val="none" w:color="000000" w:sz="0" w:space="0"/>
              </w:pBd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помічник лісничого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ДП «Менарайагролісництво», член комісії (за згодою).</w:t>
            </w: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</w:tr>
    </w:tbl>
    <w:p>
      <w:pPr>
        <w:pStyle w:val="822"/>
        <w:numPr>
          <w:ilvl w:val="0"/>
          <w:numId w:val="1"/>
        </w:numPr>
        <w:ind w:left="0" w:firstLine="567"/>
        <w:jc w:val="both"/>
        <w:tabs>
          <w:tab w:val="left" w:pos="851" w:leader="none"/>
        </w:tabs>
        <w:rPr>
          <w:rFonts w:ascii="Times New Roman" w:hAnsi="Times New Roman"/>
          <w:sz w:val="28"/>
          <w:szCs w:val="28"/>
        </w:rPr>
        <w:pBdr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between w:val="none" w:color="000000" w:sz="0" w:space="0"/>
        </w:pBdr>
      </w:pPr>
      <w:r>
        <w:rPr>
          <w:rFonts w:ascii="Times New Roman" w:hAnsi="Times New Roman"/>
          <w:sz w:val="28"/>
          <w:szCs w:val="28"/>
        </w:rPr>
        <w:t xml:space="preserve">Комісії забезпечити організацію та проведення інвентаризації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земель лісового фонду та лісових ресурсів</w:t>
      </w:r>
      <w:r>
        <w:rPr>
          <w:rFonts w:ascii="Times New Roman" w:hAnsi="Times New Roman"/>
          <w:sz w:val="28"/>
          <w:szCs w:val="28"/>
        </w:rPr>
        <w:t xml:space="preserve"> Менської територіальної громади. </w:t>
      </w:r>
      <w:r/>
    </w:p>
    <w:p>
      <w:pPr>
        <w:pStyle w:val="822"/>
        <w:numPr>
          <w:ilvl w:val="0"/>
          <w:numId w:val="1"/>
        </w:numPr>
        <w:ind w:left="0" w:firstLine="567"/>
        <w:jc w:val="both"/>
        <w:tabs>
          <w:tab w:val="left" w:pos="851" w:leader="none"/>
        </w:tabs>
        <w:rPr>
          <w:rFonts w:ascii="Times New Roman" w:hAnsi="Times New Roman"/>
          <w:sz w:val="28"/>
          <w:szCs w:val="28"/>
          <w:highlight w:val="none"/>
        </w:rPr>
        <w:pBdr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between w:val="none" w:color="000000" w:sz="0" w:space="0"/>
        </w:pBdr>
      </w:pPr>
      <w:r>
        <w:rPr>
          <w:rFonts w:ascii="Times New Roman" w:hAnsi="Times New Roman"/>
          <w:sz w:val="28"/>
          <w:szCs w:val="28"/>
          <w:highlight w:val="none"/>
        </w:rPr>
        <w:t xml:space="preserve">Визначити відділ земельних відносин, агропромислового комплексу та екології відповідальним за координацію проведення інвентаризації земель лісового фонду та лісових ресурсів.</w:t>
      </w:r>
      <w:r/>
    </w:p>
    <w:p>
      <w:pPr>
        <w:pStyle w:val="822"/>
        <w:numPr>
          <w:ilvl w:val="0"/>
          <w:numId w:val="1"/>
        </w:numPr>
        <w:ind w:left="0" w:firstLine="567"/>
        <w:jc w:val="both"/>
        <w:tabs>
          <w:tab w:val="left" w:pos="851" w:leader="none"/>
        </w:tabs>
        <w:rPr>
          <w:rFonts w:ascii="Times New Roman" w:hAnsi="Times New Roman"/>
          <w:sz w:val="28"/>
          <w:szCs w:val="28"/>
        </w:rPr>
        <w:pBdr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between w:val="none" w:color="000000" w:sz="0" w:space="0"/>
        </w:pBdr>
      </w:pPr>
      <w:r>
        <w:rPr>
          <w:rFonts w:ascii="Times New Roman" w:hAnsi="Times New Roman"/>
          <w:sz w:val="28"/>
          <w:szCs w:val="28"/>
          <w:highlight w:val="none"/>
        </w:rPr>
        <w:t xml:space="preserve">Роботи із інвентаризації земель лісового фонду та лісових ресурсів завершити до 25 грудня 2021 року.</w:t>
      </w:r>
      <w:r>
        <w:rPr>
          <w:rFonts w:ascii="Times New Roman" w:hAnsi="Times New Roman"/>
          <w:sz w:val="28"/>
          <w:szCs w:val="28"/>
          <w:highlight w:val="none"/>
        </w:rPr>
      </w:r>
      <w:r/>
    </w:p>
    <w:p>
      <w:pPr>
        <w:pStyle w:val="822"/>
        <w:numPr>
          <w:ilvl w:val="0"/>
          <w:numId w:val="1"/>
        </w:numPr>
        <w:ind w:left="0" w:firstLine="567"/>
        <w:jc w:val="both"/>
        <w:tabs>
          <w:tab w:val="left" w:pos="851" w:leader="none"/>
        </w:tabs>
        <w:rPr>
          <w:rFonts w:ascii="Times New Roman" w:hAnsi="Times New Roman"/>
          <w:sz w:val="28"/>
          <w:szCs w:val="28"/>
        </w:rPr>
        <w:pBdr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between w:val="none" w:color="000000" w:sz="0" w:space="0"/>
        </w:pBdr>
      </w:pPr>
      <w:r>
        <w:rPr>
          <w:rFonts w:ascii="Times New Roman" w:hAnsi="Times New Roman"/>
          <w:sz w:val="28"/>
          <w:szCs w:val="28"/>
          <w:highlight w:val="none"/>
        </w:rPr>
        <w:t xml:space="preserve">Розпорядження від 24 листопада 2021 року </w:t>
      </w:r>
      <w:r>
        <w:rPr>
          <w:rFonts w:ascii="Times New Roman" w:hAnsi="Times New Roman"/>
          <w:sz w:val="28"/>
          <w:szCs w:val="28"/>
        </w:rPr>
        <w:t xml:space="preserve">«</w:t>
      </w:r>
      <w:r/>
      <w:r>
        <w:rPr>
          <w:rFonts w:ascii="Times New Roman" w:hAnsi="Times New Roman"/>
          <w:sz w:val="28"/>
          <w:szCs w:val="28"/>
          <w:highlight w:val="none"/>
        </w:rPr>
      </w:r>
      <w:r>
        <w:rPr>
          <w:rFonts w:ascii="Times New Roman" w:hAnsi="Times New Roman"/>
          <w:sz w:val="28"/>
          <w:szCs w:val="28"/>
          <w:highlight w:val="none"/>
        </w:rPr>
        <w:t xml:space="preserve">Про створення комісії по інвентаризації земель лісового фонду та лісових ресурсів</w:t>
      </w:r>
      <w:r>
        <w:rPr>
          <w:rFonts w:ascii="Times New Roman" w:hAnsi="Times New Roman"/>
          <w:sz w:val="28"/>
          <w:szCs w:val="28"/>
        </w:rPr>
        <w:t xml:space="preserve">»</w:t>
      </w:r>
      <w:r/>
      <w:r>
        <w:rPr>
          <w:rFonts w:ascii="Times New Roman" w:hAnsi="Times New Roman"/>
          <w:sz w:val="28"/>
          <w:szCs w:val="28"/>
          <w:highlight w:val="none"/>
        </w:rPr>
        <w:t xml:space="preserve"> №421 визнати таким, що втратило чинність.</w:t>
      </w:r>
      <w:r>
        <w:rPr>
          <w:rFonts w:ascii="Times New Roman" w:hAnsi="Times New Roman"/>
          <w:sz w:val="28"/>
          <w:szCs w:val="28"/>
          <w:highlight w:val="none"/>
        </w:rPr>
      </w:r>
      <w:r/>
    </w:p>
    <w:p>
      <w:pPr>
        <w:pStyle w:val="822"/>
        <w:numPr>
          <w:ilvl w:val="0"/>
          <w:numId w:val="1"/>
        </w:numPr>
        <w:ind w:left="0" w:firstLine="567"/>
        <w:jc w:val="both"/>
        <w:tabs>
          <w:tab w:val="left" w:pos="851" w:leader="none"/>
        </w:tabs>
        <w:rPr>
          <w:rFonts w:ascii="Times New Roman" w:hAnsi="Times New Roman"/>
          <w:sz w:val="28"/>
          <w:szCs w:val="28"/>
        </w:rPr>
        <w:pBdr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between w:val="none" w:color="000000" w:sz="0" w:space="0"/>
        </w:pBdr>
      </w:pPr>
      <w:r>
        <w:rPr>
          <w:rFonts w:ascii="Times New Roman" w:hAnsi="Times New Roman"/>
          <w:sz w:val="28"/>
          <w:szCs w:val="28"/>
        </w:rPr>
        <w:t xml:space="preserve">Контроль за виконанням даного розпорядження покласти на першого заступника міського голови Олега НЕБЕРУ.</w:t>
      </w:r>
      <w:r>
        <w:rPr>
          <w:rFonts w:ascii="Times New Roman" w:hAnsi="Times New Roman"/>
          <w:sz w:val="28"/>
          <w:szCs w:val="28"/>
        </w:rPr>
      </w:r>
      <w:r/>
    </w:p>
    <w:p>
      <w:pPr>
        <w:pStyle w:val="818"/>
        <w:jc w:val="both"/>
        <w:tabs>
          <w:tab w:val="left" w:pos="709" w:leader="none"/>
          <w:tab w:val="left" w:pos="6804" w:leader="none"/>
        </w:tabs>
        <w:rPr>
          <w:rFonts w:ascii="Times New Roman" w:hAnsi="Times New Roman"/>
          <w:color w:val="000000"/>
          <w:sz w:val="28"/>
          <w:szCs w:val="28"/>
        </w:rPr>
        <w:pBdr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between w:val="none" w:color="000000" w:sz="0" w:space="0"/>
        </w:pBdr>
      </w:pPr>
      <w:r>
        <w:rPr>
          <w:rFonts w:ascii="Times New Roman" w:hAnsi="Times New Roman"/>
          <w:color w:val="000000"/>
          <w:sz w:val="28"/>
          <w:szCs w:val="28"/>
        </w:rPr>
      </w:r>
      <w:r>
        <w:rPr>
          <w:rFonts w:ascii="Times New Roman" w:hAnsi="Times New Roman"/>
          <w:color w:val="000000"/>
          <w:sz w:val="28"/>
          <w:szCs w:val="28"/>
        </w:rPr>
      </w:r>
      <w:r/>
    </w:p>
    <w:p>
      <w:pPr>
        <w:pStyle w:val="818"/>
        <w:jc w:val="both"/>
        <w:tabs>
          <w:tab w:val="left" w:pos="709" w:leader="none"/>
          <w:tab w:val="left" w:pos="6804" w:leader="none"/>
        </w:tabs>
        <w:rPr>
          <w:rFonts w:ascii="Times New Roman" w:hAnsi="Times New Roman"/>
          <w:color w:val="000000"/>
          <w:sz w:val="28"/>
          <w:szCs w:val="28"/>
        </w:rPr>
        <w:pBdr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between w:val="none" w:color="000000" w:sz="0" w:space="0"/>
        </w:pBdr>
      </w:pPr>
      <w:r>
        <w:rPr>
          <w:rFonts w:ascii="Times New Roman" w:hAnsi="Times New Roman"/>
          <w:color w:val="000000"/>
          <w:sz w:val="28"/>
          <w:szCs w:val="28"/>
          <w:highlight w:val="none"/>
        </w:rPr>
      </w:r>
      <w:r>
        <w:rPr>
          <w:rFonts w:ascii="Times New Roman" w:hAnsi="Times New Roman"/>
          <w:color w:val="000000"/>
          <w:sz w:val="28"/>
          <w:szCs w:val="28"/>
          <w:highlight w:val="none"/>
        </w:rPr>
      </w:r>
      <w:r/>
    </w:p>
    <w:p>
      <w:pPr>
        <w:pStyle w:val="818"/>
        <w:jc w:val="both"/>
        <w:tabs>
          <w:tab w:val="left" w:pos="709" w:leader="none"/>
          <w:tab w:val="left" w:pos="6520" w:leader="none"/>
          <w:tab w:val="left" w:pos="6804" w:leader="none"/>
        </w:tabs>
        <w:rPr>
          <w:rFonts w:ascii="Times New Roman" w:hAnsi="Times New Roman"/>
          <w:color w:val="000000"/>
          <w:sz w:val="28"/>
          <w:szCs w:val="28"/>
          <w:highlight w:val="none"/>
        </w:rPr>
        <w:pBdr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between w:val="none" w:color="000000" w:sz="0" w:space="0"/>
        </w:pBdr>
      </w:pPr>
      <w:r>
        <w:rPr>
          <w:rFonts w:ascii="Times New Roman" w:hAnsi="Times New Roman"/>
          <w:color w:val="000000"/>
          <w:sz w:val="28"/>
          <w:szCs w:val="28"/>
        </w:rPr>
        <w:t xml:space="preserve">Секретар ради </w:t>
        <w:tab/>
        <w:t xml:space="preserve">Юрій СТАЛЬНИЧЕНКО</w:t>
      </w:r>
      <w:r/>
    </w:p>
    <w:sectPr>
      <w:footnotePr/>
      <w:endnotePr/>
      <w:type w:val="nextPage"/>
      <w:pgSz w:w="11906" w:h="16838" w:orient="portrait"/>
      <w:pgMar w:top="1134" w:right="567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>
        <w:separator/>
      </w:r>
      <w:r/>
    </w:p>
  </w:endnote>
  <w:endnote w:type="continuationSeparator" w:id="0">
    <w:p>
      <w:pPr>
        <w:spacing w:lineRule="auto" w:line="240" w:after="0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Wingdings">
    <w:panose1 w:val="05010000000000000000"/>
  </w:font>
  <w:font w:name="Courier New">
    <w:panose1 w:val="02070309020205020404"/>
  </w:font>
  <w:font w:name="Times New Roman">
    <w:panose1 w:val="02020603050405020304"/>
  </w:font>
  <w:font w:name="Calibri">
    <w:panose1 w:val="020F0502020204030204"/>
  </w:font>
  <w:font w:name="Arial">
    <w:panose1 w:val="020B0604020202020204"/>
  </w:font>
  <w:font w:name="Cambria">
    <w:panose1 w:val="020206030504050203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lineRule="auto" w:line="240" w:after="0"/>
      </w:pPr>
      <w:r>
        <w:separator/>
      </w:r>
      <w:r/>
    </w:p>
  </w:footnote>
  <w:footnote w:type="continuationSeparator" w:id="0">
    <w:p>
      <w:pPr>
        <w:spacing w:lineRule="auto" w:line="240" w:after="0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818"/>
        <w:ind w:left="106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818"/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818"/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818"/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818"/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818"/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818"/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818"/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818"/>
        <w:ind w:left="6828" w:hanging="180"/>
      </w:pPr>
    </w:lvl>
  </w:abstractNum>
  <w:abstractNum w:abstractNumId="1">
    <w:multiLevelType w:val="hybridMultilevel"/>
    <w:lvl w:ilvl="0">
      <w:start w:val="2"/>
      <w:numFmt w:val="bullet"/>
      <w:isLgl w:val="false"/>
      <w:suff w:val="tab"/>
      <w:lvlText w:val="-"/>
      <w:lvlJc w:val="left"/>
      <w:pPr>
        <w:pStyle w:val="818"/>
        <w:ind w:left="432" w:hanging="360"/>
      </w:pPr>
      <w:rPr>
        <w:rFonts w:ascii="Times New Roman" w:hAnsi="Times New Roman" w:eastAsia="Times New Roman"/>
      </w:rPr>
    </w:lvl>
    <w:lvl w:ilvl="1">
      <w:start w:val="1"/>
      <w:numFmt w:val="bullet"/>
      <w:isLgl w:val="false"/>
      <w:suff w:val="tab"/>
      <w:lvlText w:val="o"/>
      <w:lvlJc w:val="left"/>
      <w:pPr>
        <w:pStyle w:val="818"/>
        <w:ind w:left="1152" w:hanging="360"/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818"/>
        <w:ind w:left="1872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818"/>
        <w:ind w:left="2592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818"/>
        <w:ind w:left="3312" w:hanging="360"/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818"/>
        <w:ind w:left="4032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818"/>
        <w:ind w:left="4752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818"/>
        <w:ind w:left="5472" w:hanging="360"/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818"/>
        <w:ind w:left="6192" w:hanging="360"/>
      </w:pPr>
      <w:rPr>
        <w:rFonts w:ascii="Wingdings" w:hAnsi="Wingdings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-"/>
      <w:lvlJc w:val="left"/>
      <w:pPr>
        <w:pStyle w:val="818"/>
        <w:ind w:left="720" w:hanging="360"/>
      </w:pPr>
      <w:rPr>
        <w:rFonts w:ascii="Times New Roman" w:hAnsi="Times New Roman" w:eastAsia="Times New Roman"/>
      </w:rPr>
    </w:lvl>
    <w:lvl w:ilvl="1">
      <w:start w:val="1"/>
      <w:numFmt w:val="bullet"/>
      <w:isLgl w:val="false"/>
      <w:suff w:val="tab"/>
      <w:lvlText w:val="o"/>
      <w:lvlJc w:val="left"/>
      <w:pPr>
        <w:pStyle w:val="818"/>
        <w:ind w:left="1440" w:hanging="360"/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818"/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818"/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818"/>
        <w:ind w:left="3600" w:hanging="360"/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818"/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818"/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818"/>
        <w:ind w:left="5760" w:hanging="360"/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818"/>
        <w:ind w:left="6480" w:hanging="360"/>
      </w:pPr>
      <w:rPr>
        <w:rFonts w:ascii="Wingdings" w:hAnsi="Wingdings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720" w:hanging="360"/>
      </w:pPr>
      <w:rPr>
        <w:rFonts w:ascii="Times New Roman" w:hAnsi="Times New Roman" w:eastAsia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720" w:hanging="360"/>
      </w:pPr>
      <w:rPr>
        <w:rFonts w:ascii="Times New Roman" w:hAnsi="Times New Roman" w:eastAsia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720" w:hanging="360"/>
      </w:pPr>
      <w:rPr>
        <w:rFonts w:ascii="Times New Roman" w:hAnsi="Times New Roman" w:eastAsia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/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bidi="ar-SA" w:eastAsia="zh-C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link w:val="643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character" w:styleId="643">
    <w:name w:val="Heading 1 Char"/>
    <w:link w:val="642"/>
    <w:uiPriority w:val="9"/>
    <w:rPr>
      <w:rFonts w:ascii="Arial" w:hAnsi="Arial" w:cs="Arial" w:eastAsia="Arial"/>
      <w:sz w:val="40"/>
      <w:szCs w:val="40"/>
    </w:rPr>
  </w:style>
  <w:style w:type="paragraph" w:styleId="644">
    <w:name w:val="Heading 2"/>
    <w:link w:val="645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character" w:styleId="645">
    <w:name w:val="Heading 2 Char"/>
    <w:link w:val="644"/>
    <w:uiPriority w:val="9"/>
    <w:rPr>
      <w:rFonts w:ascii="Arial" w:hAnsi="Arial" w:cs="Arial" w:eastAsia="Arial"/>
      <w:sz w:val="34"/>
    </w:rPr>
  </w:style>
  <w:style w:type="paragraph" w:styleId="646">
    <w:name w:val="Heading 3"/>
    <w:link w:val="647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647">
    <w:name w:val="Heading 3 Char"/>
    <w:link w:val="646"/>
    <w:uiPriority w:val="9"/>
    <w:rPr>
      <w:rFonts w:ascii="Arial" w:hAnsi="Arial" w:cs="Arial" w:eastAsia="Arial"/>
      <w:sz w:val="30"/>
      <w:szCs w:val="30"/>
    </w:rPr>
  </w:style>
  <w:style w:type="paragraph" w:styleId="648">
    <w:name w:val="Heading 4"/>
    <w:link w:val="649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649">
    <w:name w:val="Heading 4 Char"/>
    <w:link w:val="648"/>
    <w:uiPriority w:val="9"/>
    <w:rPr>
      <w:rFonts w:ascii="Arial" w:hAnsi="Arial" w:cs="Arial" w:eastAsia="Arial"/>
      <w:b/>
      <w:bCs/>
      <w:sz w:val="26"/>
      <w:szCs w:val="26"/>
    </w:rPr>
  </w:style>
  <w:style w:type="paragraph" w:styleId="650">
    <w:name w:val="Heading 5"/>
    <w:link w:val="651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651">
    <w:name w:val="Heading 5 Char"/>
    <w:link w:val="650"/>
    <w:uiPriority w:val="9"/>
    <w:rPr>
      <w:rFonts w:ascii="Arial" w:hAnsi="Arial" w:cs="Arial" w:eastAsia="Arial"/>
      <w:b/>
      <w:bCs/>
      <w:sz w:val="24"/>
      <w:szCs w:val="24"/>
    </w:rPr>
  </w:style>
  <w:style w:type="paragraph" w:styleId="652">
    <w:name w:val="Heading 6"/>
    <w:link w:val="653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653">
    <w:name w:val="Heading 6 Char"/>
    <w:link w:val="652"/>
    <w:uiPriority w:val="9"/>
    <w:rPr>
      <w:rFonts w:ascii="Arial" w:hAnsi="Arial" w:cs="Arial" w:eastAsia="Arial"/>
      <w:b/>
      <w:bCs/>
      <w:sz w:val="22"/>
      <w:szCs w:val="22"/>
    </w:rPr>
  </w:style>
  <w:style w:type="paragraph" w:styleId="654">
    <w:name w:val="Heading 7"/>
    <w:link w:val="655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655">
    <w:name w:val="Heading 7 Char"/>
    <w:link w:val="654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656">
    <w:name w:val="Heading 8"/>
    <w:link w:val="657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657">
    <w:name w:val="Heading 8 Char"/>
    <w:link w:val="656"/>
    <w:uiPriority w:val="9"/>
    <w:rPr>
      <w:rFonts w:ascii="Arial" w:hAnsi="Arial" w:cs="Arial" w:eastAsia="Arial"/>
      <w:i/>
      <w:iCs/>
      <w:sz w:val="22"/>
      <w:szCs w:val="22"/>
    </w:rPr>
  </w:style>
  <w:style w:type="paragraph" w:styleId="658">
    <w:name w:val="Heading 9"/>
    <w:link w:val="659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659">
    <w:name w:val="Heading 9 Char"/>
    <w:link w:val="658"/>
    <w:uiPriority w:val="9"/>
    <w:rPr>
      <w:rFonts w:ascii="Arial" w:hAnsi="Arial" w:cs="Arial" w:eastAsia="Arial"/>
      <w:i/>
      <w:iCs/>
      <w:sz w:val="21"/>
      <w:szCs w:val="21"/>
    </w:rPr>
  </w:style>
  <w:style w:type="paragraph" w:styleId="660">
    <w:name w:val="Title"/>
    <w:link w:val="661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661">
    <w:name w:val="Title Char"/>
    <w:link w:val="660"/>
    <w:uiPriority w:val="10"/>
    <w:rPr>
      <w:sz w:val="48"/>
      <w:szCs w:val="48"/>
    </w:rPr>
  </w:style>
  <w:style w:type="paragraph" w:styleId="662">
    <w:name w:val="Subtitle"/>
    <w:link w:val="663"/>
    <w:qFormat/>
    <w:uiPriority w:val="11"/>
    <w:rPr>
      <w:sz w:val="24"/>
      <w:szCs w:val="24"/>
    </w:rPr>
    <w:pPr>
      <w:spacing w:after="200" w:before="200"/>
    </w:pPr>
  </w:style>
  <w:style w:type="character" w:styleId="663">
    <w:name w:val="Subtitle Char"/>
    <w:link w:val="662"/>
    <w:uiPriority w:val="11"/>
    <w:rPr>
      <w:sz w:val="24"/>
      <w:szCs w:val="24"/>
    </w:rPr>
  </w:style>
  <w:style w:type="paragraph" w:styleId="664">
    <w:name w:val="Quote"/>
    <w:link w:val="665"/>
    <w:qFormat/>
    <w:uiPriority w:val="29"/>
    <w:rPr>
      <w:i/>
    </w:rPr>
    <w:pPr>
      <w:ind w:left="720" w:right="720"/>
    </w:pPr>
  </w:style>
  <w:style w:type="character" w:styleId="665">
    <w:name w:val="Quote Char"/>
    <w:link w:val="664"/>
    <w:uiPriority w:val="29"/>
    <w:rPr>
      <w:i/>
    </w:rPr>
  </w:style>
  <w:style w:type="paragraph" w:styleId="666">
    <w:name w:val="Intense Quote"/>
    <w:link w:val="667"/>
    <w:qFormat/>
    <w:uiPriority w:val="30"/>
    <w:rPr>
      <w:i/>
    </w:rPr>
    <w:pPr>
      <w:contextualSpacing w:val="false"/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667">
    <w:name w:val="Intense Quote Char"/>
    <w:link w:val="666"/>
    <w:uiPriority w:val="30"/>
    <w:rPr>
      <w:i/>
    </w:rPr>
  </w:style>
  <w:style w:type="paragraph" w:styleId="668">
    <w:name w:val="Header"/>
    <w:link w:val="669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669">
    <w:name w:val="Header Char"/>
    <w:link w:val="668"/>
    <w:uiPriority w:val="99"/>
  </w:style>
  <w:style w:type="paragraph" w:styleId="670">
    <w:name w:val="Footer"/>
    <w:link w:val="673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671">
    <w:name w:val="Footer Char"/>
    <w:link w:val="670"/>
    <w:uiPriority w:val="99"/>
  </w:style>
  <w:style w:type="paragraph" w:styleId="672">
    <w:name w:val="Caption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673">
    <w:name w:val="Caption Char"/>
    <w:basedOn w:val="672"/>
    <w:link w:val="670"/>
    <w:uiPriority w:val="99"/>
  </w:style>
  <w:style w:type="table" w:styleId="674">
    <w:name w:val="Table Grid"/>
    <w:uiPriority w:val="59"/>
    <w:pPr>
      <w:spacing w:lineRule="auto" w:line="240" w:after="0"/>
    </w:pPr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5">
    <w:name w:val="Table Grid Light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/>
      </w:tcPr>
    </w:tblStylePr>
    <w:tblStylePr w:type="band1Vert">
      <w:tcPr>
        <w:shd w:val="clear" w:color="FFFFFF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681">
    <w:name w:val="Grid Table 1 Light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689">
    <w:name w:val="Grid Table 2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690">
    <w:name w:val="Grid Table 2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691">
    <w:name w:val="Grid Table 2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692">
    <w:name w:val="Grid Table 2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693">
    <w:name w:val="Grid Table 2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694">
    <w:name w:val="Grid Table 2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695">
    <w:name w:val="Grid Table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6">
    <w:name w:val="Grid Table 3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7">
    <w:name w:val="Grid Table 3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8">
    <w:name w:val="Grid Table 3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9">
    <w:name w:val="Grid Table 3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0">
    <w:name w:val="Grid Table 3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1">
    <w:name w:val="Grid Table 3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2">
    <w:name w:val="Grid Table 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703">
    <w:name w:val="Grid Table 4 - Accent 1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704">
    <w:name w:val="Grid Table 4 - Accent 2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705">
    <w:name w:val="Grid Table 4 - Accent 3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706">
    <w:name w:val="Grid Table 4 - Accent 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707">
    <w:name w:val="Grid Table 4 - Accent 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708">
    <w:name w:val="Grid Table 4 - Accent 6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709">
    <w:name w:val="Grid Table 5 Dark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text1" w:themeTint="40"/>
    </w:tblPr>
    <w:tblStylePr w:type="band1Horz">
      <w:tcPr>
        <w:shd w:val="clear" w:color="FFFFFF" w:themeColor="text1" w:themeTint="75"/>
      </w:tcPr>
    </w:tblStylePr>
    <w:tblStylePr w:type="band1Vert">
      <w:tcPr>
        <w:shd w:val="clear" w:color="FFFFFF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/>
        <w:tcBorders>
          <w:top w:val="single" w:color="000000" w:sz="4" w:space="0" w:themeColor="light1"/>
        </w:tcBorders>
      </w:tcPr>
    </w:tblStylePr>
  </w:style>
  <w:style w:type="table" w:styleId="710">
    <w:name w:val="Grid Table 5 Dark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1" w:themeTint="34"/>
    </w:tblPr>
    <w:tblStylePr w:type="band1Horz">
      <w:tcPr>
        <w:shd w:val="clear" w:color="FFFFFF" w:themeColor="accent1" w:themeTint="75"/>
      </w:tcPr>
    </w:tblStylePr>
    <w:tblStylePr w:type="band1Vert">
      <w:tcPr>
        <w:shd w:val="clear" w:color="FFFFFF" w:themeColor="accen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/>
        <w:tcBorders>
          <w:top w:val="single" w:color="000000" w:sz="4" w:space="0" w:themeColor="light1"/>
        </w:tcBorders>
      </w:tcPr>
    </w:tblStylePr>
  </w:style>
  <w:style w:type="table" w:styleId="711">
    <w:name w:val="Grid Table 5 Dark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2" w:themeTint="32"/>
    </w:tblPr>
    <w:tblStylePr w:type="band1Horz">
      <w:tcPr>
        <w:shd w:val="clear" w:color="FFFFFF" w:themeColor="accent2" w:themeTint="75"/>
      </w:tcPr>
    </w:tblStylePr>
    <w:tblStylePr w:type="band1Vert">
      <w:tcPr>
        <w:shd w:val="clear" w:color="FFFFFF" w:themeColor="accent2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/>
        <w:tcBorders>
          <w:top w:val="single" w:color="000000" w:sz="4" w:space="0" w:themeColor="light1"/>
        </w:tcBorders>
      </w:tcPr>
    </w:tblStylePr>
  </w:style>
  <w:style w:type="table" w:styleId="712">
    <w:name w:val="Grid Table 5 Dark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3" w:themeTint="34"/>
    </w:tblPr>
    <w:tblStylePr w:type="band1Horz">
      <w:tcPr>
        <w:shd w:val="clear" w:color="FFFFFF" w:themeColor="accent3" w:themeTint="75"/>
      </w:tcPr>
    </w:tblStylePr>
    <w:tblStylePr w:type="band1Vert">
      <w:tcPr>
        <w:shd w:val="clear" w:color="FFFFFF" w:themeColor="accent3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/>
        <w:tcBorders>
          <w:top w:val="single" w:color="000000" w:sz="4" w:space="0" w:themeColor="light1"/>
        </w:tcBorders>
      </w:tcPr>
    </w:tblStylePr>
  </w:style>
  <w:style w:type="table" w:styleId="713">
    <w:name w:val="Grid Table 5 Dark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4" w:themeTint="34"/>
    </w:tblPr>
    <w:tblStylePr w:type="band1Horz">
      <w:tcPr>
        <w:shd w:val="clear" w:color="FFFFFF" w:themeColor="accent4" w:themeTint="75"/>
      </w:tcPr>
    </w:tblStylePr>
    <w:tblStylePr w:type="band1Vert">
      <w:tcPr>
        <w:shd w:val="clear" w:color="FFFFFF" w:themeColor="accent4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/>
        <w:tcBorders>
          <w:top w:val="single" w:color="000000" w:sz="4" w:space="0" w:themeColor="light1"/>
        </w:tcBorders>
      </w:tcPr>
    </w:tblStylePr>
  </w:style>
  <w:style w:type="table" w:styleId="714">
    <w:name w:val="Grid Table 5 Dark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5" w:themeTint="34"/>
    </w:tblPr>
    <w:tblStylePr w:type="band1Horz">
      <w:tcPr>
        <w:shd w:val="clear" w:color="FFFFFF" w:themeColor="accent5" w:themeTint="75"/>
      </w:tcPr>
    </w:tblStylePr>
    <w:tblStylePr w:type="band1Vert">
      <w:tcPr>
        <w:shd w:val="clear" w:color="FFFFFF" w:themeColor="accent5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/>
        <w:tcBorders>
          <w:top w:val="single" w:color="000000" w:sz="4" w:space="0" w:themeColor="light1"/>
        </w:tcBorders>
      </w:tcPr>
    </w:tblStylePr>
  </w:style>
  <w:style w:type="table" w:styleId="715">
    <w:name w:val="Grid Table 5 Dark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6" w:themeTint="34"/>
    </w:tblPr>
    <w:tblStylePr w:type="band1Horz">
      <w:tcPr>
        <w:shd w:val="clear" w:color="FFFFFF" w:themeColor="accent6" w:themeTint="75"/>
      </w:tcPr>
    </w:tblStylePr>
    <w:tblStylePr w:type="band1Vert">
      <w:tcPr>
        <w:shd w:val="clear" w:color="FFFFFF" w:themeColor="accent6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/>
        <w:tcBorders>
          <w:top w:val="single" w:color="000000" w:sz="4" w:space="0" w:themeColor="light1"/>
        </w:tcBorders>
      </w:tcPr>
    </w:tblStylePr>
  </w:style>
  <w:style w:type="table" w:styleId="716">
    <w:name w:val="Grid Table 6 Colorful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/>
      </w:tcPr>
    </w:tblStylePr>
    <w:tblStylePr w:type="band1Vert">
      <w:tcPr>
        <w:shd w:val="clear" w:color="FFFFFF" w:themeColor="text1" w:theme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/>
      </w:tcPr>
    </w:tblStylePr>
    <w:tblStylePr w:type="band1Vert">
      <w:tcPr>
        <w:shd w:val="clear" w:color="FFFFFF" w:themeColor="accent1" w:theme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/>
      </w:tcPr>
    </w:tblStylePr>
    <w:tblStylePr w:type="band1Vert">
      <w:tcPr>
        <w:shd w:val="clear" w:color="FFFFFF" w:themeColor="accent2" w:theme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/>
      </w:tcPr>
    </w:tblStylePr>
    <w:tblStylePr w:type="band1Vert">
      <w:tcPr>
        <w:shd w:val="clear" w:color="FFFFFF" w:themeColor="accent3" w:theme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/>
      </w:tcPr>
    </w:tblStylePr>
    <w:tblStylePr w:type="band1Vert">
      <w:tcPr>
        <w:shd w:val="clear" w:color="FFFFFF" w:themeColor="accent4" w:theme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/>
      </w:tcPr>
    </w:tblStylePr>
    <w:tblStylePr w:type="band1Vert">
      <w:tcPr>
        <w:shd w:val="clear" w:color="FFFFFF" w:themeColor="accent5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/>
      </w:tcPr>
    </w:tblStylePr>
    <w:tblStylePr w:type="band1Vert">
      <w:tcPr>
        <w:shd w:val="clear" w:color="FFFFFF" w:themeColor="accent6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/>
      </w:tcPr>
    </w:tblStylePr>
    <w:tblStylePr w:type="band1Vert">
      <w:tcPr>
        <w:shd w:val="clear" w:color="FFFFFF" w:themeColor="text1" w:theme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724">
    <w:name w:val="Grid Table 7 Colorful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/>
      </w:tcPr>
    </w:tblStylePr>
    <w:tblStylePr w:type="band1Vert">
      <w:tcPr>
        <w:shd w:val="clear" w:color="FFFFFF" w:themeColor="accent1" w:theme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left w:val="single" w:color="000000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725">
    <w:name w:val="Grid Table 7 Colorful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/>
      </w:tcPr>
    </w:tblStylePr>
    <w:tblStylePr w:type="band1Vert">
      <w:tcPr>
        <w:shd w:val="clear" w:color="FFFFFF" w:themeColor="accent2" w:theme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726">
    <w:name w:val="Grid Table 7 Colorful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/>
      </w:tcPr>
    </w:tblStylePr>
    <w:tblStylePr w:type="band1Vert">
      <w:tcPr>
        <w:shd w:val="clear" w:color="FFFFFF" w:themeColor="accent3" w:theme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left w:val="single" w:color="000000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727">
    <w:name w:val="Grid Table 7 Colorful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/>
      </w:tcPr>
    </w:tblStylePr>
    <w:tblStylePr w:type="band1Vert">
      <w:tcPr>
        <w:shd w:val="clear" w:color="FFFFFF" w:themeColor="accent4" w:theme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728">
    <w:name w:val="Grid Table 7 Colorful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/>
      </w:tcPr>
    </w:tblStylePr>
    <w:tblStylePr w:type="band1Vert">
      <w:tcPr>
        <w:shd w:val="clear" w:color="FFFFFF" w:themeColor="accent5" w:theme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left w:val="single" w:color="000000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729">
    <w:name w:val="Grid Table 7 Colorful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/>
      </w:tcPr>
    </w:tblStylePr>
    <w:tblStylePr w:type="band1Vert">
      <w:tcPr>
        <w:shd w:val="clear" w:color="FFFFFF" w:themeColor="accent6" w:theme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left w:val="single" w:color="000000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730">
    <w:name w:val="List Table 1 Light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731">
    <w:name w:val="List Table 1 Light - Accent 1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732">
    <w:name w:val="List Table 1 Light - Accent 2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733">
    <w:name w:val="List Table 1 Light - Accent 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734">
    <w:name w:val="List Table 1 Light - Accent 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735">
    <w:name w:val="List Table 1 Light - Accent 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736">
    <w:name w:val="List Table 1 Light - Accent 6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737">
    <w:name w:val="List Table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738">
    <w:name w:val="List Table 2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739">
    <w:name w:val="List Table 2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740">
    <w:name w:val="List Table 2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741">
    <w:name w:val="List Table 2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742">
    <w:name w:val="List Table 2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743">
    <w:name w:val="List Table 2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744">
    <w:name w:val="List Table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FFFFFF" w:themeColor="text1" w:themeTint="80"/>
    </w:tblPr>
    <w:tblStylePr w:type="band1Horz">
      <w:tcPr>
        <w:shd w:val="clear" w:color="FFFFFF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text1" w:theme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FFFFFF" w:themeColor="accent1"/>
    </w:tblPr>
    <w:tblStylePr w:type="band1Horz">
      <w:tcPr>
        <w:shd w:val="clear" w:color="FFFFFF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FFFFFF" w:themeColor="accent2" w:themeTint="97"/>
    </w:tblPr>
    <w:tblStylePr w:type="band1Horz">
      <w:tcPr>
        <w:shd w:val="clear" w:color="FFFFFF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2" w:theme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FFFFFF" w:themeColor="accent3" w:themeTint="98"/>
    </w:tblPr>
    <w:tblStylePr w:type="band1Horz">
      <w:tcPr>
        <w:shd w:val="clear" w:color="FFFFFF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3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FFFFFF" w:themeColor="accent4" w:themeTint="9A"/>
    </w:tblPr>
    <w:tblStylePr w:type="band1Horz">
      <w:tcPr>
        <w:shd w:val="clear" w:color="FFFFFF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4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FFFFFF" w:themeColor="accent5" w:themeTint="9A"/>
    </w:tblPr>
    <w:tblStylePr w:type="band1Horz">
      <w:tcPr>
        <w:shd w:val="clear" w:color="FFFFFF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5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FFFFFF" w:themeColor="accent6" w:themeTint="98"/>
    </w:tblPr>
    <w:tblStylePr w:type="band1Horz">
      <w:tcPr>
        <w:shd w:val="clear" w:color="FFFFFF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6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766">
    <w:name w:val="List Table 6 Colorful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767">
    <w:name w:val="List Table 6 Colorful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768">
    <w:name w:val="List Table 6 Colorful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769">
    <w:name w:val="List Table 6 Colorful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770">
    <w:name w:val="List Table 6 Colorful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771">
    <w:name w:val="List Table 6 Colorful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772">
    <w:name w:val="List Table 7 Colorful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left w:val="single" w:color="000000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74">
    <w:name w:val="List Table 7 Colorful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75">
    <w:name w:val="List Table 7 Colorful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left w:val="single" w:color="000000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3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76">
    <w:name w:val="List Table 7 Colorful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77">
    <w:name w:val="List Table 7 Colorful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left w:val="single" w:color="000000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5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78">
    <w:name w:val="List Table 7 Colorful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left w:val="single" w:color="00000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6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79">
    <w:name w:val="Lined - Accent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</w:style>
  <w:style w:type="table" w:styleId="780">
    <w:name w:val="Lined - Accent 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</w:style>
  <w:style w:type="table" w:styleId="781">
    <w:name w:val="Lined - Accent 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</w:style>
  <w:style w:type="table" w:styleId="782">
    <w:name w:val="Lined - Accent 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</w:style>
  <w:style w:type="table" w:styleId="783">
    <w:name w:val="Lined - Accent 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</w:style>
  <w:style w:type="table" w:styleId="784">
    <w:name w:val="Lined - Accent 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/>
      </w:tcPr>
    </w:tblStylePr>
  </w:style>
  <w:style w:type="table" w:styleId="785">
    <w:name w:val="Lined - Accent 6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/>
      </w:tcPr>
    </w:tblStylePr>
  </w:style>
  <w:style w:type="table" w:styleId="786">
    <w:name w:val="Bordered &amp; Lined - Accent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</w:style>
  <w:style w:type="table" w:styleId="787">
    <w:name w:val="Bordered &amp; Lined - Accent 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</w:style>
  <w:style w:type="table" w:styleId="788">
    <w:name w:val="Bordered &amp; Lined - Accent 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</w:style>
  <w:style w:type="table" w:styleId="789">
    <w:name w:val="Bordered &amp; Lined - Accent 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</w:style>
  <w:style w:type="table" w:styleId="790">
    <w:name w:val="Bordered &amp; Lined - Accent 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</w:style>
  <w:style w:type="table" w:styleId="791">
    <w:name w:val="Bordered &amp; Lined - Accent 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/>
      </w:tcPr>
    </w:tblStylePr>
  </w:style>
  <w:style w:type="table" w:styleId="792">
    <w:name w:val="Bordered &amp; Lined - Accent 6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/>
      </w:tcPr>
    </w:tblStylePr>
  </w:style>
  <w:style w:type="table" w:styleId="793">
    <w:name w:val="Bordered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794">
    <w:name w:val="Bordered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795">
    <w:name w:val="Bordered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796">
    <w:name w:val="Bordered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797">
    <w:name w:val="Bordered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798">
    <w:name w:val="Bordered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799">
    <w:name w:val="Bordered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character" w:styleId="800">
    <w:name w:val="Hyperlink"/>
    <w:uiPriority w:val="99"/>
    <w:unhideWhenUsed/>
    <w:rPr>
      <w:color w:val="0000FF" w:themeColor="hyperlink"/>
      <w:u w:val="single"/>
    </w:rPr>
  </w:style>
  <w:style w:type="paragraph" w:styleId="801">
    <w:name w:val="footnote text"/>
    <w:link w:val="802"/>
    <w:uiPriority w:val="99"/>
    <w:semiHidden/>
    <w:unhideWhenUsed/>
    <w:rPr>
      <w:sz w:val="18"/>
    </w:rPr>
    <w:pPr>
      <w:spacing w:lineRule="auto" w:line="240" w:after="40"/>
    </w:pPr>
  </w:style>
  <w:style w:type="character" w:styleId="802">
    <w:name w:val="Footnote Text Char"/>
    <w:link w:val="801"/>
    <w:uiPriority w:val="99"/>
    <w:rPr>
      <w:sz w:val="18"/>
    </w:rPr>
  </w:style>
  <w:style w:type="character" w:styleId="803">
    <w:name w:val="footnote reference"/>
    <w:uiPriority w:val="99"/>
    <w:unhideWhenUsed/>
    <w:rPr>
      <w:vertAlign w:val="superscript"/>
    </w:rPr>
  </w:style>
  <w:style w:type="paragraph" w:styleId="804">
    <w:name w:val="endnote text"/>
    <w:link w:val="805"/>
    <w:uiPriority w:val="99"/>
    <w:semiHidden/>
    <w:unhideWhenUsed/>
    <w:rPr>
      <w:sz w:val="20"/>
    </w:rPr>
    <w:pPr>
      <w:spacing w:lineRule="auto" w:line="240" w:after="0"/>
    </w:pPr>
  </w:style>
  <w:style w:type="character" w:styleId="805">
    <w:name w:val="Endnote Text Char"/>
    <w:link w:val="804"/>
    <w:uiPriority w:val="99"/>
    <w:rPr>
      <w:sz w:val="20"/>
    </w:rPr>
  </w:style>
  <w:style w:type="character" w:styleId="806">
    <w:name w:val="endnote reference"/>
    <w:uiPriority w:val="99"/>
    <w:semiHidden/>
    <w:unhideWhenUsed/>
    <w:rPr>
      <w:vertAlign w:val="superscript"/>
    </w:rPr>
  </w:style>
  <w:style w:type="paragraph" w:styleId="807">
    <w:name w:val="toc 1"/>
    <w:uiPriority w:val="39"/>
    <w:unhideWhenUsed/>
    <w:pPr>
      <w:ind w:left="0" w:right="0" w:firstLine="0"/>
      <w:spacing w:after="57"/>
    </w:pPr>
  </w:style>
  <w:style w:type="paragraph" w:styleId="808">
    <w:name w:val="toc 2"/>
    <w:uiPriority w:val="39"/>
    <w:unhideWhenUsed/>
    <w:pPr>
      <w:ind w:left="283" w:right="0" w:firstLine="0"/>
      <w:spacing w:after="57"/>
    </w:pPr>
  </w:style>
  <w:style w:type="paragraph" w:styleId="809">
    <w:name w:val="toc 3"/>
    <w:uiPriority w:val="39"/>
    <w:unhideWhenUsed/>
    <w:pPr>
      <w:ind w:left="567" w:right="0" w:firstLine="0"/>
      <w:spacing w:after="57"/>
    </w:pPr>
  </w:style>
  <w:style w:type="paragraph" w:styleId="810">
    <w:name w:val="toc 4"/>
    <w:uiPriority w:val="39"/>
    <w:unhideWhenUsed/>
    <w:pPr>
      <w:ind w:left="850" w:right="0" w:firstLine="0"/>
      <w:spacing w:after="57"/>
    </w:pPr>
  </w:style>
  <w:style w:type="paragraph" w:styleId="811">
    <w:name w:val="toc 5"/>
    <w:uiPriority w:val="39"/>
    <w:unhideWhenUsed/>
    <w:pPr>
      <w:ind w:left="1134" w:right="0" w:firstLine="0"/>
      <w:spacing w:after="57"/>
    </w:pPr>
  </w:style>
  <w:style w:type="paragraph" w:styleId="812">
    <w:name w:val="toc 6"/>
    <w:uiPriority w:val="39"/>
    <w:unhideWhenUsed/>
    <w:pPr>
      <w:ind w:left="1417" w:right="0" w:firstLine="0"/>
      <w:spacing w:after="57"/>
    </w:pPr>
  </w:style>
  <w:style w:type="paragraph" w:styleId="813">
    <w:name w:val="toc 7"/>
    <w:uiPriority w:val="39"/>
    <w:unhideWhenUsed/>
    <w:pPr>
      <w:ind w:left="1701" w:right="0" w:firstLine="0"/>
      <w:spacing w:after="57"/>
    </w:pPr>
  </w:style>
  <w:style w:type="paragraph" w:styleId="814">
    <w:name w:val="toc 8"/>
    <w:uiPriority w:val="39"/>
    <w:unhideWhenUsed/>
    <w:pPr>
      <w:ind w:left="1984" w:right="0" w:firstLine="0"/>
      <w:spacing w:after="57"/>
    </w:pPr>
  </w:style>
  <w:style w:type="paragraph" w:styleId="815">
    <w:name w:val="toc 9"/>
    <w:uiPriority w:val="39"/>
    <w:unhideWhenUsed/>
    <w:pPr>
      <w:ind w:left="2268" w:right="0" w:firstLine="0"/>
      <w:spacing w:after="57"/>
    </w:pPr>
  </w:style>
  <w:style w:type="paragraph" w:styleId="816">
    <w:name w:val="TOC Heading"/>
    <w:uiPriority w:val="39"/>
    <w:unhideWhenUsed/>
  </w:style>
  <w:style w:type="paragraph" w:styleId="817">
    <w:name w:val="table of figures"/>
    <w:uiPriority w:val="99"/>
    <w:unhideWhenUsed/>
    <w:pPr>
      <w:spacing w:after="0" w:afterAutospacing="0"/>
    </w:pPr>
  </w:style>
  <w:style w:type="paragraph" w:styleId="818">
    <w:name w:val="Обычный"/>
    <w:next w:val="818"/>
    <w:link w:val="818"/>
    <w:rPr>
      <w:rFonts w:ascii="Calibri" w:hAnsi="Calibri"/>
      <w:sz w:val="22"/>
      <w:szCs w:val="22"/>
      <w:lang w:val="uk-UA" w:bidi="ar-SA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character" w:styleId="819">
    <w:name w:val="Основной шрифт абзаца"/>
    <w:next w:val="819"/>
    <w:link w:val="818"/>
    <w:semiHidden/>
  </w:style>
  <w:style w:type="table" w:styleId="820">
    <w:name w:val="Обычная таблица"/>
    <w:next w:val="820"/>
    <w:link w:val="818"/>
    <w:semiHidden/>
    <w:tblPr/>
  </w:style>
  <w:style w:type="numbering" w:styleId="821">
    <w:name w:val="Нет списка"/>
    <w:next w:val="821"/>
    <w:link w:val="818"/>
    <w:semiHidden/>
  </w:style>
  <w:style w:type="paragraph" w:styleId="822">
    <w:name w:val="List Paragraph"/>
    <w:next w:val="822"/>
    <w:link w:val="818"/>
    <w:rPr>
      <w:rFonts w:ascii="Calibri" w:hAnsi="Calibri"/>
      <w:sz w:val="22"/>
      <w:szCs w:val="22"/>
      <w:lang w:val="uk-UA" w:bidi="ar-SA" w:eastAsia="en-US"/>
    </w:rPr>
    <w:pPr>
      <w:contextualSpacing w:val="true"/>
      <w:ind w:left="720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823">
    <w:name w:val="No Spacing"/>
    <w:next w:val="823"/>
    <w:link w:val="818"/>
    <w:rPr>
      <w:rFonts w:ascii="Calibri" w:hAnsi="Calibri"/>
      <w:sz w:val="22"/>
      <w:szCs w:val="22"/>
      <w:lang w:val="uk-UA" w:bidi="ar-SA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824">
    <w:name w:val="Обычный (веб)"/>
    <w:basedOn w:val="818"/>
    <w:next w:val="824"/>
    <w:link w:val="818"/>
    <w:semiHidden/>
    <w:rPr>
      <w:rFonts w:ascii="Times New Roman" w:hAnsi="Times New Roman" w:eastAsia="Calibri"/>
      <w:sz w:val="24"/>
      <w:szCs w:val="24"/>
      <w:lang w:eastAsia="uk-UA"/>
    </w:rPr>
    <w:pPr>
      <w:spacing w:after="100" w:afterAutospacing="1" w:before="100" w:beforeAutospacing="1"/>
      <w:pBdr>
        <w:left w:val="none" w:color="000000" w:sz="0" w:space="0"/>
        <w:top w:val="none" w:color="000000" w:sz="0" w:space="0"/>
        <w:right w:val="none" w:color="000000" w:sz="0" w:space="0"/>
        <w:bottom w:val="none" w:color="000000" w:sz="0" w:space="0"/>
        <w:between w:val="none" w:color="000000" w:sz="0" w:space="0"/>
      </w:pBdr>
    </w:pPr>
  </w:style>
  <w:style w:type="character" w:styleId="825" w:default="1">
    <w:name w:val="Default Paragraph Font"/>
    <w:uiPriority w:val="1"/>
    <w:semiHidden/>
    <w:unhideWhenUsed/>
  </w:style>
  <w:style w:type="numbering" w:styleId="826" w:default="1">
    <w:name w:val="No List"/>
    <w:uiPriority w:val="99"/>
    <w:semiHidden/>
    <w:unhideWhenUsed/>
  </w:style>
  <w:style w:type="paragraph" w:styleId="827" w:default="1">
    <w:name w:val="Normal"/>
    <w:qFormat/>
  </w:style>
  <w:style w:type="table" w:styleId="828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ONLYOFFICE/6.3.1.32</Application>
  <DocSecurity>0</DocSecurity>
  <HyperlinksChanged>false</HyperlinksChanged>
  <LinksUpToDate>false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Жураковська Альона Володимирівна</cp:lastModifiedBy>
  <cp:revision>8</cp:revision>
  <dcterms:modified xsi:type="dcterms:W3CDTF">2021-11-29T17:12:37Z</dcterms:modified>
</cp:coreProperties>
</file>