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113" w:after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jc w:val="center"/>
        <w:spacing w:lineRule="auto" w:line="240" w:after="113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jc w:val="center"/>
        <w:spacing w:lineRule="auto" w:line="240" w:after="113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ind w:left="15" w:hanging="15"/>
        <w:jc w:val="center"/>
        <w:spacing w:lineRule="auto" w:line="240" w:after="113" w:afterAutospacing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2"/>
        <w:spacing w:lineRule="auto" w:line="240" w:after="113" w:afterAutospacing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752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keepNext/>
        <w:spacing w:lineRule="auto" w:line="240" w:after="113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Блистівського 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  <w:lang w:val="uk-UA"/>
        </w:rPr>
        <w:t xml:space="preserve">закладу дошкільної освіти (дитячий садок) «Ромашка» загального типу Менської міської ради в новій редакції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ind w:lef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Відповідно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до Закону України «Про освіту», «Про дошкільну освіту»,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Положення про дошкільний навчаль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ний заклад України, затвердженого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», згідно зі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1.Змінити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найменування з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Блистівського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Ромашка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Блистівський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Ромашка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2.Змінити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Блистівського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Ромашка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156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75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, Чернігівська область, Менський район,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село Блистова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вулиця Набережна, 17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на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15675, Чернігівська область, Корюківський район, село Блистова, вулиця Набережна, 17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Блистівського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Ромашка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Блистівського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Ромашка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Шестак 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П. подати всі необхідні документи для державної реєстрації.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tabs>
          <w:tab w:val="left" w:pos="0" w:leader="none"/>
          <w:tab w:val="left" w:pos="567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виконкому Менської міської ради Прищепу В.В.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3"/>
        <w:ind w:left="0"/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pStyle w:val="863"/>
        <w:ind w:left="0"/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r>
    </w:p>
    <w:p>
      <w:pPr>
        <w:pStyle w:val="863"/>
        <w:ind w:left="0"/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11</cp:revision>
  <dcterms:created xsi:type="dcterms:W3CDTF">2021-11-21T15:59:00Z</dcterms:created>
  <dcterms:modified xsi:type="dcterms:W3CDTF">2021-11-27T16:08:11Z</dcterms:modified>
</cp:coreProperties>
</file>