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8376" cy="6377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kraineCoatOfArmsSmallBW.svg[1]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58375" cy="637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50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ind w:firstLine="0"/>
        <w:spacing w:lineRule="auto" w:line="240" w:after="0" w:afterAutospacing="0" w:before="0" w:beforeAutospacing="0"/>
        <w:tabs>
          <w:tab w:val="clear" w:pos="709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Mangal" w:eastAsia="Lucida Sans Unicode"/>
          <w:color w:val="000000"/>
          <w:sz w:val="28"/>
        </w:rPr>
        <w:t xml:space="preserve">663</w:t>
      </w:r>
      <w:r>
        <w:rPr>
          <w:sz w:val="28"/>
        </w:rPr>
      </w:r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звітування Менського міського голови та депутатів Менської міської ради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перед виборцями про свою роботу</w:t>
      </w:r>
      <w:r>
        <w:rPr>
          <w:b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метою своєчасного подання звітів депутатів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ради про свою роботу перед виборцями та виконання обов’язків депутата, передбаченого положеннями статті 16 Закону України «Про статус депутатів місцевих рад», керуючись п. 3, п. 6 ч. 4 ст. 4</w:t>
      </w:r>
      <w:r>
        <w:rPr>
          <w:rFonts w:ascii="Times New Roman" w:hAnsi="Times New Roman" w:cs="Times New Roman" w:eastAsia="Times New Roman"/>
          <w:sz w:val="28"/>
        </w:rPr>
        <w:t xml:space="preserve">2, ч. 1 ст. 59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ВИРІШИЛА: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8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Визначити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що звітування міського голови та депутатів ради перед виборцями за свою роботу відбувається протягом першого кварталу поточного року за попередній рік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/>
    </w:p>
    <w:p>
      <w:pPr>
        <w:pStyle w:val="658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Затвердити Порядок звітування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Менського міського голови та депутатів Менської міської ради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перед ви</w:t>
      </w:r>
      <w:r>
        <w:rPr>
          <w:rFonts w:ascii="Times New Roman" w:hAnsi="Times New Roman" w:cs="Times New Roman" w:eastAsia="Times New Roman"/>
          <w:sz w:val="28"/>
        </w:rPr>
        <w:t xml:space="preserve">борцями про свою роботу згідно з додатком до даного рішення (порядок додається).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8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Відділу документування та забезпечення роботи апарату ради довести дане рішення до відома працівників апарату та депутатів Менської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658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Відділу цифрових трансформацій та комунікації забезпечити висвітлення звітів Менської міської ради на офіційному сайті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658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постійну комісію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2021-11-26T06:57:12Z</dcterms:modified>
</cp:coreProperties>
</file>