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/>
        <w:jc w:val="both"/>
        <w:widowControl w:val="off"/>
        <w:rPr>
          <w:sz w:val="28"/>
          <w:szCs w:val="24"/>
        </w:rPr>
      </w:pPr>
      <w:r>
        <w:rPr>
          <w:color w:val="000000"/>
          <w:sz w:val="28"/>
          <w:szCs w:val="24"/>
          <w:lang w:eastAsia="uk-UA"/>
        </w:rPr>
        <w:t xml:space="preserve">Додаток  </w:t>
      </w:r>
      <w:r/>
    </w:p>
    <w:p>
      <w:pPr>
        <w:ind w:left="5953"/>
        <w:jc w:val="both"/>
        <w:widowControl w:val="off"/>
        <w:rPr>
          <w:color w:val="000000"/>
          <w:sz w:val="28"/>
          <w:szCs w:val="24"/>
          <w:lang w:eastAsia="uk-UA"/>
        </w:rPr>
      </w:pPr>
      <w:r>
        <w:rPr>
          <w:color w:val="000000"/>
          <w:sz w:val="28"/>
          <w:szCs w:val="24"/>
          <w:lang w:eastAsia="uk-UA"/>
        </w:rPr>
        <w:t xml:space="preserve">до</w:t>
      </w:r>
      <w:r>
        <w:rPr>
          <w:color w:val="000000"/>
          <w:sz w:val="28"/>
          <w:szCs w:val="24"/>
          <w:lang w:eastAsia="uk-UA"/>
        </w:rPr>
        <w:t xml:space="preserve"> рішення 14 сесії Менської міської ради 8 скликання</w:t>
      </w:r>
      <w:r/>
    </w:p>
    <w:p>
      <w:pPr>
        <w:ind w:left="5953"/>
        <w:jc w:val="both"/>
        <w:widowControl w:val="off"/>
        <w:rPr>
          <w:sz w:val="28"/>
          <w:szCs w:val="24"/>
        </w:rPr>
      </w:pPr>
      <w:r>
        <w:rPr>
          <w:color w:val="000000"/>
          <w:sz w:val="28"/>
          <w:szCs w:val="24"/>
          <w:lang w:eastAsia="uk-UA"/>
        </w:rPr>
        <w:t xml:space="preserve">25 листопада 2021 № 666</w:t>
      </w:r>
      <w:r/>
    </w:p>
    <w:p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ПРОГРАМА</w:t>
      </w:r>
      <w:r/>
    </w:p>
    <w:p>
      <w:pPr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забезпечення медичних закладів </w:t>
      </w:r>
      <w:r/>
    </w:p>
    <w:p>
      <w:pPr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Менської міської територіальної</w:t>
      </w:r>
      <w:r/>
    </w:p>
    <w:p>
      <w:pPr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громади медичними кадрами</w:t>
      </w:r>
      <w:r/>
    </w:p>
    <w:p>
      <w:pPr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 xml:space="preserve">на 2022 – </w:t>
      </w:r>
      <w:r>
        <w:rPr>
          <w:b/>
          <w:bCs/>
          <w:color w:val="000000" w:themeColor="text1"/>
          <w:spacing w:val="1"/>
          <w:sz w:val="36"/>
          <w:szCs w:val="36"/>
        </w:rPr>
        <w:t xml:space="preserve">2026 </w:t>
      </w:r>
      <w:r>
        <w:rPr>
          <w:b/>
          <w:bCs/>
          <w:color w:val="000000"/>
          <w:spacing w:val="1"/>
          <w:sz w:val="36"/>
          <w:szCs w:val="36"/>
        </w:rPr>
        <w:t xml:space="preserve">роки</w:t>
      </w:r>
      <w:r/>
    </w:p>
    <w:p>
      <w:pPr>
        <w:jc w:val="center"/>
        <w:spacing w:lineRule="auto" w:line="36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Мена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</w:rPr>
      </w:r>
      <w:r>
        <w:rPr>
          <w:b/>
          <w:color w:val="000000"/>
          <w:sz w:val="28"/>
          <w:szCs w:val="28"/>
          <w:highlight w:val="none"/>
        </w:rPr>
      </w:r>
      <w:r/>
    </w:p>
    <w:p>
      <w:pPr>
        <w:jc w:val="center"/>
        <w:rPr>
          <w:b/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ЗМІСТ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8046"/>
        <w:gridCol w:w="1524"/>
      </w:tblGrid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1.Паспорт Програми</w:t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стор.3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2.Визначення проблеми, на розв’язання якої спрямована Програма</w:t>
            </w:r>
            <w:r/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стор.4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Мета Програми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стор.4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4.Основні завдання Програми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стор.4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Шляхи та способи розв’язання проблеми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стор.4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6.Фінансове забезпечення виконання Програми 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стор.5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7.Строки виконання Програми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стор.5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8.Очікувані результати виконання Програми 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стор.5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Заходи щодо виконання Програми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стор.5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Координація та контроль за ходом виконання Програми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стор.7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Додаток до Програми «Типовий Договір про надання освітніх послуг»</w:t>
            </w:r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15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стор.8</w:t>
            </w:r>
            <w:r/>
          </w:p>
        </w:tc>
      </w:tr>
    </w:tbl>
    <w:p>
      <w:pPr>
        <w:shd w:val="nil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ПАСПОРТ </w:t>
      </w:r>
      <w:r/>
    </w:p>
    <w:p>
      <w:pPr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Програми </w:t>
      </w:r>
      <w:r>
        <w:rPr>
          <w:b/>
          <w:bCs/>
          <w:color w:val="000000"/>
          <w:spacing w:val="1"/>
          <w:sz w:val="28"/>
          <w:szCs w:val="28"/>
        </w:rPr>
        <w:t xml:space="preserve">забезпечення медичних закладів </w:t>
      </w:r>
      <w:r/>
    </w:p>
    <w:p>
      <w:pPr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 w:themeColor="text1"/>
          <w:spacing w:val="1"/>
          <w:sz w:val="28"/>
          <w:szCs w:val="28"/>
          <w:highlight w:val="white"/>
        </w:rPr>
        <w:t xml:space="preserve">Менської міської територіальної громади медичними кадрами </w:t>
      </w:r>
      <w:r/>
    </w:p>
    <w:p>
      <w:pPr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 w:themeColor="text1"/>
          <w:spacing w:val="1"/>
          <w:sz w:val="28"/>
          <w:szCs w:val="28"/>
          <w:highlight w:val="white"/>
        </w:rPr>
        <w:t xml:space="preserve">на 2022 – 2026 роки</w:t>
      </w:r>
      <w:r/>
    </w:p>
    <w:p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617"/>
        <w:gridCol w:w="4265"/>
        <w:gridCol w:w="4737"/>
        <w:gridCol w:w="9"/>
      </w:tblGrid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1. 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Ініціатор розроблення Програми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2. 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Нормативно-правові акти, як підстава для розроблення Програми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Закони України: </w:t>
            </w:r>
            <w:r/>
          </w:p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19.11.1992 №2801-XII «Основи законодавства України про охорону здоров’я»;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21.05.1997 №280/97-ВР </w:t>
            </w:r>
            <w:r>
              <w:rPr>
                <w:color w:val="000000" w:themeColor="text1"/>
                <w:spacing w:val="11"/>
                <w:sz w:val="28"/>
                <w:szCs w:val="28"/>
                <w:highlight w:val="white"/>
              </w:rPr>
              <w:t xml:space="preserve">«Про місцеве самоврядування в Україні»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3.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Розробники Програми 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4.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Відповідаль</w:t>
            </w:r>
            <w:r>
              <w:rPr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ні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виконавці 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Програми 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5.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Учасники Програми 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ind w:left="-41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6.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Термін реалізації Програми 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2022-2026 роки 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7.</w:t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Загальний обсяг фінансових ресурсів, необхідних для реалізації Програми всього, у тому числі: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2 25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3 530,00 грн.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коштів міського бюджету, всього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2 25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3 530,00 грн.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т.ч.по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роках: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>
          <w:gridAfter w:val="1"/>
          <w:trHeight w:val="124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2022 рік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ind w:left="-142" w:firstLine="510"/>
              <w:jc w:val="both"/>
              <w:rPr>
                <w:color w:val="000000"/>
                <w:sz w:val="28"/>
                <w:szCs w:val="28"/>
                <w:highlight w:val="white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458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350,00 грн.</w:t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2023 рік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ind w:left="-142" w:firstLine="510"/>
              <w:jc w:val="both"/>
              <w:rPr>
                <w:color w:val="000000"/>
                <w:sz w:val="28"/>
                <w:szCs w:val="28"/>
                <w:highlight w:val="white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45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2 260,00 грн.</w:t>
            </w:r>
            <w:r>
              <w:rPr>
                <w:color w:val="000000" w:themeColor="text1"/>
                <w:sz w:val="28"/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W w:w="62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377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2024 рік</w:t>
            </w:r>
            <w:r/>
          </w:p>
        </w:tc>
        <w:tc>
          <w:tcPr>
            <w:tcW w:w="4851" w:type="dxa"/>
            <w:textDirection w:val="lrTb"/>
            <w:noWrap w:val="false"/>
          </w:tcPr>
          <w:p>
            <w:pPr>
              <w:ind w:left="-142" w:firstLine="510"/>
              <w:jc w:val="both"/>
              <w:rPr>
                <w:color w:val="000000"/>
                <w:sz w:val="28"/>
                <w:szCs w:val="28"/>
                <w:highlight w:val="white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44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3 020,00 грн.</w:t>
            </w:r>
            <w:r>
              <w:rPr>
                <w:color w:val="000000" w:themeColor="text1"/>
                <w:sz w:val="28"/>
                <w:highlight w:val="white"/>
              </w:rPr>
            </w:r>
            <w:r/>
          </w:p>
        </w:tc>
      </w:tr>
      <w:tr>
        <w:trPr>
          <w:trHeight w:val="345"/>
        </w:trPr>
        <w:tc>
          <w:tcPr>
            <w:tcW w:w="603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  <w:tc>
          <w:tcPr>
            <w:tcW w:w="4149" w:type="dxa"/>
            <w:textDirection w:val="lrTb"/>
            <w:noWrap w:val="false"/>
          </w:tcPr>
          <w:p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2025 рік</w:t>
            </w:r>
            <w:r/>
          </w:p>
        </w:tc>
        <w:tc>
          <w:tcPr>
            <w:gridSpan w:val="2"/>
            <w:tcW w:w="4602" w:type="dxa"/>
            <w:textDirection w:val="lrTb"/>
            <w:noWrap w:val="false"/>
          </w:tcPr>
          <w:p>
            <w:pPr>
              <w:ind w:left="-142" w:firstLine="510"/>
              <w:jc w:val="both"/>
              <w:rPr>
                <w:color w:val="000000"/>
                <w:sz w:val="28"/>
                <w:szCs w:val="28"/>
                <w:highlight w:val="white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450 000,00 грн.</w:t>
            </w:r>
            <w:r>
              <w:rPr>
                <w:color w:val="000000" w:themeColor="text1"/>
                <w:sz w:val="28"/>
                <w:highlight w:val="white"/>
              </w:rPr>
            </w:r>
            <w:r/>
          </w:p>
        </w:tc>
      </w:tr>
      <w:tr>
        <w:trPr/>
        <w:tc>
          <w:tcPr>
            <w:tcW w:w="603" w:type="dxa"/>
            <w:textDirection w:val="lrTb"/>
            <w:noWrap w:val="false"/>
          </w:tcPr>
          <w:p>
            <w:pPr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  <w:tc>
          <w:tcPr>
            <w:tcW w:w="4149" w:type="dxa"/>
            <w:textDirection w:val="lrTb"/>
            <w:noWrap w:val="false"/>
          </w:tcPr>
          <w:p>
            <w:pPr>
              <w:jc w:val="right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2026 рік</w:t>
            </w:r>
            <w:r/>
          </w:p>
        </w:tc>
        <w:tc>
          <w:tcPr>
            <w:gridSpan w:val="2"/>
            <w:tcW w:w="4602" w:type="dxa"/>
            <w:textDirection w:val="lrTb"/>
            <w:noWrap w:val="false"/>
          </w:tcPr>
          <w:p>
            <w:pPr>
              <w:ind w:left="-142" w:firstLine="510"/>
              <w:jc w:val="both"/>
              <w:rPr>
                <w:color w:val="000000"/>
                <w:sz w:val="28"/>
                <w:szCs w:val="28"/>
                <w:highlight w:val="white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450 000,00 грн.</w:t>
            </w:r>
            <w:r>
              <w:rPr>
                <w:color w:val="000000" w:themeColor="text1"/>
                <w:sz w:val="28"/>
                <w:highlight w:val="white"/>
              </w:rPr>
            </w:r>
            <w:r/>
          </w:p>
        </w:tc>
      </w:tr>
    </w:tbl>
    <w:p>
      <w:pPr>
        <w:shd w:val="nil" w:color="auto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none"/>
        </w:rPr>
        <w:br w:type="page"/>
      </w:r>
      <w:r>
        <w:rPr>
          <w:b/>
          <w:color w:val="000000"/>
          <w:sz w:val="28"/>
          <w:szCs w:val="28"/>
          <w:highlight w:val="white"/>
        </w:rPr>
      </w:r>
      <w:r/>
    </w:p>
    <w:p>
      <w:pPr>
        <w:jc w:val="center"/>
        <w:spacing w:after="142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white"/>
        </w:rPr>
        <w:t xml:space="preserve">2. Визначення проблеми, на розв’язання якої спрямована Програма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Ефективна кадрова політика є важливим інструментом функціонування галузі охорони здоров’я, оскільки від стану забезпеченості закладів галузі медичними працівниками та їх професійного рівня залежить якість надання медичної допомоги населенню громади. </w:t>
      </w:r>
      <w:r/>
    </w:p>
    <w:p>
      <w:pPr>
        <w:pStyle w:val="958"/>
        <w:ind w:left="20" w:right="20" w:firstLine="547"/>
        <w:spacing w:lineRule="auto" w:line="240" w:before="0"/>
        <w:shd w:val="clear" w:fill="auto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  <w:highlight w:val="white"/>
        </w:rPr>
        <w:t xml:space="preserve"> Менській міській територіальній громаді зокрем</w:t>
      </w:r>
      <w:r>
        <w:rPr>
          <w:color w:val="000000" w:themeColor="text1"/>
          <w:sz w:val="28"/>
          <w:szCs w:val="28"/>
          <w:highlight w:val="white"/>
        </w:rPr>
        <w:t xml:space="preserve">а, як і в області в цілому, склалася складна ситуація щодо забезпечення медичними кадрами. На сьогоднішній день дефіцит лікарів в КНП «Менська міська лікарня» та КНП «Менський центр ПМСД» становить 25 штатних одиниць. Середній вік лікарів  складає 52 роки.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Станом на 01 липня 2021 року укомплектованість персоналу по КНП «Менська міська лікарня» та КНП «Менський центр ПМСД» становить 63 %.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Нагальною потребою є омолодження кадрового потенціалу, адже значний  відсоток працюючих – люди пенсійного віку. Однак, низькі заробітна плата та соціальний захист медичних працівників стають перешкодою в залученні молодих фахівців до роботи в галузі.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Такий стан справ вимагає необхідності здійснення комплексу заходів, спрямованих на розв’язання проблем та підвищення ефективності  медицини в цілому.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Прийняття Програми сприятиме забезпеченню медичних закладів Менської міської територіальної громад</w:t>
      </w:r>
      <w:r>
        <w:rPr>
          <w:color w:val="000000" w:themeColor="text1"/>
          <w:sz w:val="28"/>
          <w:szCs w:val="28"/>
          <w:highlight w:val="white"/>
        </w:rPr>
        <w:t xml:space="preserve">и лікарями, поліпшенню стану здоров’я населення  шляхом забезпечення доступу до кваліфікованої медичної допомоги на вторинному рівні, орієнтованих  на інтегрованому підході до  вирішення медико-санітарних потреб окремих громадян, родин та громади в цілому.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3. Мета </w:t>
      </w:r>
      <w:r>
        <w:rPr>
          <w:b/>
          <w:color w:val="000000" w:themeColor="text1"/>
          <w:sz w:val="28"/>
          <w:szCs w:val="28"/>
          <w:highlight w:val="white"/>
        </w:rPr>
        <w:t xml:space="preserve">Програми</w:t>
      </w:r>
      <w:r/>
    </w:p>
    <w:p>
      <w:pPr>
        <w:ind w:firstLine="709"/>
        <w:rPr>
          <w:b/>
          <w:color w:val="000000"/>
          <w:sz w:val="2"/>
          <w:szCs w:val="2"/>
          <w:highlight w:val="white"/>
        </w:rPr>
      </w:pPr>
      <w:r>
        <w:rPr>
          <w:b/>
          <w:color w:val="000000"/>
          <w:sz w:val="2"/>
          <w:szCs w:val="2"/>
          <w:highlight w:val="white"/>
        </w:rPr>
      </w:r>
      <w:r/>
    </w:p>
    <w:p>
      <w:pPr>
        <w:pStyle w:val="958"/>
        <w:ind w:firstLine="527"/>
        <w:spacing w:lineRule="auto" w:line="240" w:before="0"/>
        <w:shd w:val="clear" w:fill="auto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Метою Програми є комплексний підхід щодо підняття престижу праці та </w:t>
      </w:r>
      <w:r>
        <w:rPr>
          <w:rStyle w:val="959"/>
          <w:color w:val="000000" w:themeColor="text1"/>
          <w:sz w:val="28"/>
          <w:szCs w:val="28"/>
          <w:highlight w:val="white"/>
          <w:lang w:eastAsia="uk-UA"/>
        </w:rPr>
        <w:t xml:space="preserve">соціального захисту </w:t>
      </w:r>
      <w:r>
        <w:rPr>
          <w:color w:val="000000" w:themeColor="text1"/>
          <w:sz w:val="28"/>
          <w:szCs w:val="28"/>
          <w:highlight w:val="white"/>
        </w:rPr>
        <w:t xml:space="preserve">медичного працівника в суспільстві</w:t>
      </w:r>
      <w:r>
        <w:rPr>
          <w:rStyle w:val="959"/>
          <w:color w:val="000000" w:themeColor="text1"/>
          <w:sz w:val="28"/>
          <w:szCs w:val="28"/>
          <w:highlight w:val="white"/>
          <w:lang w:eastAsia="uk-UA"/>
        </w:rPr>
        <w:t xml:space="preserve">, що дозволить оптимально забезпечити заклади охорони здоров’я  кваліфікованими медичними кадрами. 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4. </w:t>
      </w:r>
      <w:r>
        <w:rPr>
          <w:b/>
          <w:color w:val="000000" w:themeColor="text1"/>
          <w:sz w:val="28"/>
          <w:szCs w:val="28"/>
          <w:highlight w:val="white"/>
        </w:rPr>
        <w:t xml:space="preserve">Основні </w:t>
      </w:r>
      <w:r>
        <w:rPr>
          <w:b/>
          <w:color w:val="000000" w:themeColor="text1"/>
          <w:sz w:val="28"/>
          <w:szCs w:val="28"/>
          <w:highlight w:val="white"/>
        </w:rPr>
        <w:t xml:space="preserve">завдання Програми</w:t>
      </w:r>
      <w:r/>
    </w:p>
    <w:p>
      <w:pPr>
        <w:pStyle w:val="943"/>
        <w:ind w:firstLine="567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Основними завданнями Програми є:</w:t>
      </w:r>
      <w:r/>
    </w:p>
    <w:p>
      <w:pPr>
        <w:pStyle w:val="943"/>
        <w:ind w:firstLine="567"/>
        <w:tabs>
          <w:tab w:val="left" w:pos="0" w:leader="none"/>
          <w:tab w:val="left" w:pos="117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 - Забезпечення першочергово медичних закладів лікарями  та молодшими спеціалістами з медичною освітою, зокрема фельдшерами для роботи у сільській місцевості.</w:t>
      </w:r>
      <w:r/>
    </w:p>
    <w:p>
      <w:pPr>
        <w:pStyle w:val="943"/>
        <w:numPr>
          <w:ilvl w:val="0"/>
          <w:numId w:val="18"/>
        </w:numPr>
        <w:tabs>
          <w:tab w:val="left" w:pos="0" w:leader="none"/>
          <w:tab w:val="left" w:pos="117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 Підняття престижу професії медичного працівника.</w:t>
      </w:r>
      <w:r/>
    </w:p>
    <w:p>
      <w:pPr>
        <w:pStyle w:val="781"/>
        <w:numPr>
          <w:ilvl w:val="0"/>
          <w:numId w:val="17"/>
        </w:numPr>
        <w:jc w:val="both"/>
        <w:tabs>
          <w:tab w:val="left" w:pos="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Відтворення кадрового ресурсу.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5. </w:t>
      </w:r>
      <w:r>
        <w:rPr>
          <w:b/>
          <w:color w:val="000000" w:themeColor="text1"/>
          <w:sz w:val="28"/>
          <w:szCs w:val="28"/>
          <w:highlight w:val="white"/>
        </w:rPr>
        <w:t xml:space="preserve">Шляхи </w:t>
      </w:r>
      <w:r>
        <w:rPr>
          <w:b/>
          <w:color w:val="000000" w:themeColor="text1"/>
          <w:sz w:val="28"/>
          <w:szCs w:val="28"/>
          <w:highlight w:val="white"/>
        </w:rPr>
        <w:t xml:space="preserve">та способи розв’язання проблеми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Для досягнення мети, визначеної Програмою необхідно: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Організувати діяльність органів місцевого самоврядування і закладів охорони здоров’я для виконання заходів Програми.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 Підвищити статус медичного працівника шляхом заохочень до роботи на місцях.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3. Забезпечити відбір кандидатів на навчання у медичних навчальних закладах за рахунок коштів місцевого бюджету, враховуючи їх освітній рівень. 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4. Забезпечити організацію навчання о</w:t>
      </w:r>
      <w:r>
        <w:rPr>
          <w:color w:val="000000" w:themeColor="text1"/>
          <w:sz w:val="28"/>
          <w:szCs w:val="28"/>
          <w:highlight w:val="white"/>
        </w:rPr>
        <w:t xml:space="preserve">сіб у медичних навчальних закладах за рахунок коштів місцевого бюджету на підставі Договору між студентом, закладом (підприємством) охорони здоров’я  та навчальним медичним закладом з чітким визначенням прав і обов’язків сторін та їхньої відповідальності з</w:t>
      </w:r>
      <w:r>
        <w:rPr>
          <w:color w:val="000000" w:themeColor="text1"/>
          <w:sz w:val="28"/>
          <w:szCs w:val="28"/>
          <w:highlight w:val="white"/>
        </w:rPr>
        <w:t xml:space="preserve">а невиконання чи неналежне виконання його умов. При цьому однією з умов укладання Договору є обов'язкове 10-ти річне відпрацювання особами, які навчались за кошти міського бюджету, у відповідному закладі охорони здоров’я. Типовий Договір про надання освітн</w:t>
      </w:r>
      <w:r>
        <w:rPr>
          <w:color w:val="000000" w:themeColor="text1"/>
          <w:sz w:val="28"/>
          <w:szCs w:val="28"/>
          <w:highlight w:val="white"/>
        </w:rPr>
        <w:t xml:space="preserve">іх послуг є додатком до даної Програми. У разі нагальної необхідності, пов’язаної зі змінами норм чинного законодавства, особливостями фінансування освітніх послуг тощо, даний Договір може бути змінено за згодою сторін без внесення змін до даної Програми. 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6. </w:t>
      </w:r>
      <w:r>
        <w:rPr>
          <w:b/>
          <w:color w:val="000000" w:themeColor="text1"/>
          <w:sz w:val="28"/>
          <w:szCs w:val="28"/>
          <w:highlight w:val="white"/>
        </w:rPr>
        <w:t xml:space="preserve">Фінансове </w:t>
      </w:r>
      <w:r>
        <w:rPr>
          <w:b/>
          <w:color w:val="000000" w:themeColor="text1"/>
          <w:sz w:val="28"/>
          <w:szCs w:val="28"/>
          <w:highlight w:val="white"/>
        </w:rPr>
        <w:t xml:space="preserve">забезпечення Програми</w:t>
      </w:r>
      <w:r/>
    </w:p>
    <w:p>
      <w:pPr>
        <w:ind w:firstLine="60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Фінансування Програми здійснюватиметься з міського бюджету, а також за рахунок інших джерел, не заборонених чинним законодавством України.</w:t>
      </w:r>
      <w:r/>
    </w:p>
    <w:tbl>
      <w:tblPr>
        <w:tblStyle w:val="797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2126"/>
        <w:gridCol w:w="1843"/>
        <w:gridCol w:w="1984"/>
        <w:gridCol w:w="1418"/>
      </w:tblGrid>
      <w:tr>
        <w:trPr>
          <w:trHeight w:val="450"/>
        </w:trPr>
        <w:tc>
          <w:tcPr>
            <w:tcBorders>
              <w:left w:val="single" w:color="000000" w:sz="7" w:space="0"/>
              <w:top w:val="single" w:color="000000" w:sz="7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2"/>
              </w:rPr>
              <w:t xml:space="preserve">Рік</w:t>
            </w:r>
            <w:r/>
          </w:p>
        </w:tc>
        <w:tc>
          <w:tcPr>
            <w:tcBorders>
              <w:left w:val="none" w:color="000000" w:sz="4" w:space="0"/>
              <w:top w:val="single" w:color="000000" w:sz="7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2"/>
              </w:rPr>
              <w:t xml:space="preserve">Навчання студентів</w:t>
            </w:r>
            <w:r/>
          </w:p>
        </w:tc>
        <w:tc>
          <w:tcPr>
            <w:tcBorders>
              <w:left w:val="none" w:color="000000" w:sz="4" w:space="0"/>
              <w:top w:val="single" w:color="000000" w:sz="7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2"/>
              </w:rPr>
              <w:t xml:space="preserve">Співфінансування студентів</w:t>
            </w:r>
            <w:r/>
          </w:p>
        </w:tc>
        <w:tc>
          <w:tcPr>
            <w:tcBorders>
              <w:left w:val="none" w:color="000000" w:sz="4" w:space="0"/>
              <w:top w:val="single" w:color="000000" w:sz="7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2"/>
              </w:rPr>
              <w:t xml:space="preserve">фінансування підйомних</w:t>
            </w:r>
            <w:r/>
          </w:p>
        </w:tc>
        <w:tc>
          <w:tcPr>
            <w:tcBorders>
              <w:left w:val="none" w:color="000000" w:sz="4" w:space="0"/>
              <w:top w:val="single" w:color="000000" w:sz="7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2"/>
              </w:rPr>
              <w:t xml:space="preserve">підвищення спеціалізації</w:t>
            </w:r>
            <w:r/>
          </w:p>
        </w:tc>
        <w:tc>
          <w:tcPr>
            <w:tcBorders>
              <w:left w:val="none" w:color="000000" w:sz="4" w:space="0"/>
              <w:top w:val="single" w:color="000000" w:sz="7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2"/>
              </w:rPr>
              <w:t xml:space="preserve">всього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7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  <w:rPr>
                <w:i/>
              </w:rPr>
            </w:pPr>
            <w:r>
              <w:rPr>
                <w:i/>
                <w:color w:val="000000"/>
                <w:sz w:val="22"/>
              </w:rPr>
              <w:t xml:space="preserve">1 особу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  <w:rPr>
                <w:i/>
              </w:rPr>
            </w:pPr>
            <w:r>
              <w:rPr>
                <w:i/>
                <w:color w:val="000000"/>
                <w:sz w:val="22"/>
              </w:rPr>
              <w:t xml:space="preserve">1 , 2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  <w:rPr>
                <w:i/>
              </w:rPr>
            </w:pPr>
            <w:r>
              <w:rPr>
                <w:i/>
                <w:color w:val="000000"/>
                <w:sz w:val="22"/>
              </w:rPr>
              <w:t xml:space="preserve">6 осіб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  <w:rPr>
                <w:i/>
              </w:rPr>
            </w:pPr>
            <w:r>
              <w:rPr>
                <w:i/>
                <w:color w:val="000000"/>
                <w:sz w:val="22"/>
              </w:rPr>
              <w:t xml:space="preserve">2 особи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7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28 350,00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50 000,00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300 000,00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80 000,00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458 350,00</w:t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7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8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22 260,00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50 000,00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300 000,00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80 000,00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452 260,00</w:t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7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8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13 020,00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50 000,00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300 000,00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80 000,00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443 020,00</w:t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7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8"/>
              </w:rPr>
              <w:t xml:space="preserve">2025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50 000,00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300 000,00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100 000,00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450 000,00</w:t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7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0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b/>
                <w:color w:val="000000"/>
                <w:sz w:val="28"/>
              </w:rPr>
              <w:t xml:space="preserve">2026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26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50 000,00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43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300 000,00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84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100 000,00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7" w:space="0"/>
              <w:bottom w:val="single" w:color="000000" w:sz="7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18" w:type="dxa"/>
            <w:vAlign w:val="bottom"/>
            <w:textDirection w:val="lrTb"/>
            <w:noWrap/>
          </w:tcPr>
          <w:p>
            <w:pPr>
              <w:jc w:val="center"/>
              <w:spacing w:lineRule="atLeast" w:line="57"/>
            </w:pPr>
            <w:r>
              <w:rPr>
                <w:color w:val="000000"/>
                <w:sz w:val="22"/>
              </w:rPr>
              <w:t xml:space="preserve">450 000,00</w:t>
            </w:r>
            <w:r/>
          </w:p>
        </w:tc>
      </w:tr>
    </w:tbl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7. </w:t>
      </w:r>
      <w:r>
        <w:rPr>
          <w:b/>
          <w:color w:val="000000" w:themeColor="text1"/>
          <w:sz w:val="28"/>
          <w:szCs w:val="28"/>
          <w:highlight w:val="white"/>
        </w:rPr>
        <w:t xml:space="preserve">Строки </w:t>
      </w:r>
      <w:r>
        <w:rPr>
          <w:b/>
          <w:color w:val="000000" w:themeColor="text1"/>
          <w:sz w:val="28"/>
          <w:szCs w:val="28"/>
          <w:highlight w:val="white"/>
        </w:rPr>
        <w:t xml:space="preserve">виконання Програми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Строки виконання Програми -  2022-2026 роки.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8. Очікувані</w:t>
      </w:r>
      <w:r>
        <w:rPr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b/>
          <w:color w:val="000000" w:themeColor="text1"/>
          <w:sz w:val="28"/>
          <w:szCs w:val="28"/>
          <w:highlight w:val="white"/>
        </w:rPr>
        <w:t xml:space="preserve">результати виконання Програми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Реалізація заходів, передбачених Програмою, дасть змогу укомплектувати лікарями комунальні заклади (підприємства) охорони здоров’я Менської міської територіальної громади, що забезпечить: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поліпшення якості та доступності первинної та спеціалізованої медичної допомоги населенню громади;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поліпшення показників здоров’я населення;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підвищення престижу медичного працівника;</w:t>
      </w:r>
      <w:r/>
    </w:p>
    <w:p>
      <w:pPr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поліпшення показника укомплектованості лікарськими кадрами.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9. </w:t>
      </w:r>
      <w:r>
        <w:rPr>
          <w:b/>
          <w:color w:val="000000" w:themeColor="text1"/>
          <w:sz w:val="28"/>
          <w:szCs w:val="28"/>
          <w:highlight w:val="white"/>
        </w:rPr>
        <w:t xml:space="preserve">Заходи </w:t>
      </w:r>
      <w:r>
        <w:rPr>
          <w:b/>
          <w:color w:val="000000" w:themeColor="text1"/>
          <w:sz w:val="28"/>
          <w:szCs w:val="28"/>
          <w:highlight w:val="white"/>
        </w:rPr>
        <w:t xml:space="preserve">щодо виконання Програми</w:t>
      </w:r>
      <w:r/>
    </w:p>
    <w:p>
      <w:pPr>
        <w:contextualSpacing w:val="true"/>
        <w:ind w:left="17" w:right="-79" w:firstLine="691"/>
        <w:jc w:val="both"/>
        <w:spacing w:after="120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1. Проводити щорічно аналіз стану забезпечення закладу (підприємства)  </w:t>
      </w:r>
      <w:r/>
    </w:p>
    <w:p>
      <w:pPr>
        <w:contextualSpacing w:val="true"/>
        <w:ind w:right="-79"/>
        <w:jc w:val="both"/>
        <w:spacing w:after="120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охорони здоров’я громади спеціалістами з вищою і середньою медичною освітою та визначити реальну потребу в медичних кадрах.</w:t>
      </w:r>
      <w:r/>
    </w:p>
    <w:p>
      <w:pPr>
        <w:ind w:left="4956" w:right="-1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 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                                                                </w:t>
      </w:r>
      <w:r/>
    </w:p>
    <w:p>
      <w:pPr>
        <w:ind w:right="-79" w:firstLine="708"/>
        <w:jc w:val="both"/>
        <w:spacing w:after="120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 Сприяти ви</w:t>
      </w:r>
      <w:r>
        <w:rPr>
          <w:color w:val="000000" w:themeColor="text1"/>
          <w:sz w:val="28"/>
          <w:szCs w:val="28"/>
          <w:highlight w:val="white"/>
        </w:rPr>
        <w:t xml:space="preserve">рішенню організаційних питань та зміцнення матеріально-технічної бази КНП «Менська міська лікарня» та КНП «Менський центр ПМСД»  щодо забезпечення навчального процесу для студентів-медиків та лікарів-інтернів на  період практики та проходження інтернатури.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                                                                </w:t>
      </w:r>
      <w:r/>
    </w:p>
    <w:p>
      <w:pPr>
        <w:ind w:left="4830" w:right="-1" w:firstLine="126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2022-2026 роки</w:t>
      </w:r>
      <w:r/>
    </w:p>
    <w:p>
      <w:pPr>
        <w:ind w:right="7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color w:val="000000" w:themeColor="text1"/>
          <w:spacing w:val="1"/>
          <w:sz w:val="28"/>
          <w:szCs w:val="28"/>
          <w:highlight w:val="white"/>
        </w:rPr>
        <w:t xml:space="preserve">3. Здійснювати комплекс організаційних, просвітницьких і інформаційних заходів, спрямованих на орієнтацію випускників загальноосвітніх закладів на професію медичного працівника.</w:t>
      </w:r>
      <w:r>
        <w:rPr>
          <w:i/>
          <w:color w:val="000000" w:themeColor="text1"/>
          <w:sz w:val="28"/>
          <w:szCs w:val="28"/>
          <w:highlight w:val="white"/>
        </w:rPr>
        <w:t xml:space="preserve">                                                                                          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                                                                </w:t>
      </w:r>
      <w:r/>
    </w:p>
    <w:p>
      <w:pPr>
        <w:ind w:left="4248" w:right="-1" w:firstLine="708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2022-2026 роки</w:t>
      </w:r>
      <w:r/>
    </w:p>
    <w:p>
      <w:pPr>
        <w:ind w:right="-79" w:firstLine="708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4. Забезпечити фінансува</w:t>
      </w:r>
      <w:r>
        <w:rPr>
          <w:color w:val="000000" w:themeColor="text1"/>
          <w:sz w:val="28"/>
          <w:szCs w:val="28"/>
          <w:highlight w:val="white"/>
        </w:rPr>
        <w:t xml:space="preserve">ння на умовах контракту навчального процесу  студентів-медиків та лікарів-інтернів за рахунок коштів міського бюджету та інших джерел, не заборонених законодавством, а також здійснювати контроль за цільовим використанням бюджетних коштів, передбачених на  </w:t>
      </w:r>
      <w:r/>
    </w:p>
    <w:p>
      <w:pPr>
        <w:ind w:right="-79"/>
        <w:jc w:val="both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виконання даної Програми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ind w:right="-79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i/>
          <w:color w:val="000000" w:themeColor="text1"/>
          <w:sz w:val="28"/>
          <w:szCs w:val="28"/>
          <w:highlight w:val="white"/>
        </w:rPr>
        <w:t xml:space="preserve">Менська міська рада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</w:t>
      </w:r>
      <w:r/>
    </w:p>
    <w:p>
      <w:pPr>
        <w:ind w:left="4248" w:right="-1" w:firstLine="708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роки</w:t>
      </w:r>
      <w:r/>
    </w:p>
    <w:p>
      <w:pPr>
        <w:ind w:right="-79" w:firstLine="567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5. Забезпечити фінансування проходження лікарями курсів спеціалізації в вищих навчальних закладах (2 особи на рік),  а також здійснювати контроль за цільовим використанням бюджетних коштів, передбачених на виконання даної Програми. </w:t>
      </w:r>
      <w:r/>
    </w:p>
    <w:p>
      <w:pPr>
        <w:ind w:left="4248" w:right="-79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Менська міська рада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</w:t>
      </w:r>
      <w:r/>
    </w:p>
    <w:p>
      <w:pPr>
        <w:ind w:left="4956" w:right="-1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</w:t>
      </w:r>
      <w:r/>
    </w:p>
    <w:p>
      <w:pPr>
        <w:ind w:left="4248" w:right="-1" w:firstLine="708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2022-2026 роки</w:t>
      </w:r>
      <w:r/>
    </w:p>
    <w:p>
      <w:pPr>
        <w:ind w:right="-79" w:firstLine="708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6. Забезпечити фінансування лікарям виплат (підйомних) в розмірі 50 </w:t>
      </w:r>
      <w:r>
        <w:rPr>
          <w:color w:val="000000" w:themeColor="text1"/>
          <w:sz w:val="28"/>
          <w:szCs w:val="28"/>
          <w:highlight w:val="white"/>
        </w:rPr>
        <w:t xml:space="preserve">тис.грн</w:t>
      </w:r>
      <w:r>
        <w:rPr>
          <w:color w:val="000000" w:themeColor="text1"/>
          <w:sz w:val="28"/>
          <w:szCs w:val="28"/>
          <w:highlight w:val="white"/>
        </w:rPr>
        <w:t xml:space="preserve">. при прийомі на роботу (за рік</w:t>
      </w:r>
      <w:r>
        <w:rPr>
          <w:color w:val="000000" w:themeColor="text1"/>
          <w:sz w:val="28"/>
          <w:szCs w:val="28"/>
          <w:highlight w:val="white"/>
        </w:rPr>
        <w:t xml:space="preserve"> - 6 одиниць, з них 3 особи КНП “Менська міська лікарня” та 3 особи КНП “Менський центр ПМСД”) в тому числі з урахуванням податків та зборів, а також здійснювати контроль за цільовим використанням бюджетних коштів, передбачених на виконання даної Програми.</w:t>
      </w:r>
      <w:r/>
    </w:p>
    <w:p>
      <w:pPr>
        <w:ind w:right="-79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color w:val="000000" w:themeColor="text1"/>
          <w:sz w:val="28"/>
          <w:szCs w:val="28"/>
          <w:highlight w:val="white"/>
        </w:rPr>
        <w:tab/>
      </w:r>
      <w:r>
        <w:rPr>
          <w:i/>
          <w:color w:val="000000" w:themeColor="text1"/>
          <w:sz w:val="28"/>
          <w:szCs w:val="28"/>
          <w:highlight w:val="white"/>
        </w:rPr>
        <w:tab/>
        <w:t xml:space="preserve">Менська міська рада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</w:t>
      </w:r>
      <w:r/>
    </w:p>
    <w:p>
      <w:pPr>
        <w:ind w:left="4956" w:right="-1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                                                                </w:t>
      </w:r>
      <w:r/>
    </w:p>
    <w:p>
      <w:pPr>
        <w:ind w:left="4248" w:right="-1" w:firstLine="708"/>
        <w:jc w:val="both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2022-2026 роки</w:t>
      </w:r>
      <w:r/>
    </w:p>
    <w:p>
      <w:pPr>
        <w:ind w:right="-79" w:firstLine="720"/>
        <w:jc w:val="both"/>
        <w:spacing w:after="120"/>
        <w:shd w:val="clear" w:fill="FFFFFF" w:color="auto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7. Використовувати лікувальні заклади громади як навчально-методичну базу при підготовці лікарів-інтернів та студентів-медиків медичних навчальних закладів з підготовки медичних фахівців. </w:t>
      </w:r>
      <w:r>
        <w:rPr>
          <w:i/>
          <w:color w:val="000000" w:themeColor="text1"/>
          <w:sz w:val="28"/>
          <w:szCs w:val="28"/>
          <w:highlight w:val="white"/>
        </w:rPr>
        <w:t xml:space="preserve"> 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«Менська міська лікарня»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КНП «Менський центр ПМСД»</w:t>
      </w:r>
      <w:r/>
    </w:p>
    <w:p>
      <w:pPr>
        <w:ind w:left="4248" w:right="-1" w:firstLine="708"/>
        <w:jc w:val="both"/>
        <w:shd w:val="clear" w:fill="FFFFFF" w:color="auto"/>
        <w:rPr>
          <w:i/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  <w:highlight w:val="white"/>
        </w:rPr>
        <w:t xml:space="preserve">2022-2026 роки</w:t>
      </w:r>
      <w:r/>
    </w:p>
    <w:p>
      <w:pPr>
        <w:jc w:val="center"/>
        <w:spacing w:after="142" w:after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10. Координація</w:t>
      </w:r>
      <w:r>
        <w:rPr>
          <w:b/>
          <w:color w:val="000000" w:themeColor="text1"/>
          <w:sz w:val="28"/>
          <w:szCs w:val="28"/>
          <w:highlight w:val="white"/>
        </w:rPr>
        <w:t xml:space="preserve"> та контроль за ходом виконання Програми</w:t>
      </w:r>
      <w:r/>
    </w:p>
    <w:p>
      <w:pPr>
        <w:ind w:firstLine="567"/>
        <w:jc w:val="both"/>
        <w:shd w:val="clear" w:fill="FFFFFF" w:color="auto"/>
        <w:tabs>
          <w:tab w:val="left" w:pos="998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highlight w:val="white"/>
        </w:rPr>
        <w:t xml:space="preserve">Контроль за реалізацією Програми покладається на </w:t>
      </w:r>
      <w:r>
        <w:rPr>
          <w:color w:val="000000" w:themeColor="text1"/>
          <w:spacing w:val="1"/>
          <w:sz w:val="28"/>
          <w:szCs w:val="28"/>
          <w:highlight w:val="white"/>
        </w:rPr>
        <w:t xml:space="preserve">постійну комісію</w:t>
      </w:r>
      <w:r>
        <w:rPr>
          <w:color w:val="000000" w:themeColor="text1"/>
          <w:sz w:val="28"/>
          <w:szCs w:val="28"/>
          <w:highlight w:val="white"/>
        </w:rPr>
        <w:t xml:space="preserve"> Мен</w:t>
      </w:r>
      <w:r>
        <w:rPr>
          <w:color w:val="000000" w:themeColor="text1"/>
          <w:sz w:val="28"/>
          <w:szCs w:val="28"/>
          <w:highlight w:val="white"/>
        </w:rPr>
        <w:t xml:space="preserve">ської міської ради з питань охорони здоров’я, соціального захисту населення, освіти, культури, молоді, фізкультури і спорту, постійну комісію з питань планування, фінансів, бюджету, соціально-економічного розвитку,, першого заступника міського голови О.Л. </w:t>
      </w:r>
      <w:r>
        <w:rPr>
          <w:color w:val="000000" w:themeColor="text1"/>
          <w:sz w:val="28"/>
          <w:szCs w:val="28"/>
          <w:highlight w:val="white"/>
        </w:rPr>
        <w:t xml:space="preserve">Неберу</w:t>
      </w:r>
      <w:r>
        <w:rPr>
          <w:color w:val="000000" w:themeColor="text1"/>
          <w:sz w:val="28"/>
          <w:szCs w:val="28"/>
          <w:highlight w:val="white"/>
        </w:rPr>
        <w:t xml:space="preserve"> та заступника міського голови з питань діяльності виконавчих органів ради  С.М. </w:t>
      </w:r>
      <w:r>
        <w:rPr>
          <w:color w:val="000000" w:themeColor="text1"/>
          <w:sz w:val="28"/>
          <w:szCs w:val="28"/>
          <w:highlight w:val="white"/>
        </w:rPr>
        <w:t xml:space="preserve">Гаєвого</w:t>
      </w:r>
      <w:r>
        <w:rPr>
          <w:color w:val="000000" w:themeColor="text1"/>
          <w:sz w:val="28"/>
          <w:szCs w:val="28"/>
          <w:highlight w:val="white"/>
        </w:rPr>
        <w:t xml:space="preserve">.</w:t>
      </w:r>
      <w:r/>
    </w:p>
    <w:p>
      <w:pPr>
        <w:ind w:firstLine="567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highlight w:val="white"/>
        </w:rPr>
      </w:pPr>
      <w:r>
        <w:rPr>
          <w:color w:val="000000"/>
          <w:spacing w:val="1"/>
          <w:sz w:val="28"/>
          <w:szCs w:val="28"/>
          <w:highlight w:val="white"/>
        </w:rPr>
      </w:r>
      <w:r>
        <w:rPr>
          <w:color w:val="000000"/>
          <w:spacing w:val="1"/>
          <w:sz w:val="28"/>
          <w:szCs w:val="28"/>
          <w:highlight w:val="white"/>
        </w:rPr>
      </w:r>
    </w:p>
    <w:p>
      <w:pPr>
        <w:ind w:firstLine="567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highlight w:val="white"/>
        </w:rPr>
      </w:pPr>
      <w:r>
        <w:rPr>
          <w:color w:val="000000"/>
          <w:spacing w:val="1"/>
          <w:sz w:val="28"/>
          <w:szCs w:val="28"/>
          <w:highlight w:val="white"/>
        </w:rPr>
      </w:r>
      <w:r>
        <w:rPr>
          <w:color w:val="000000"/>
          <w:spacing w:val="1"/>
          <w:sz w:val="28"/>
          <w:szCs w:val="28"/>
          <w:highlight w:val="white"/>
        </w:rPr>
      </w:r>
    </w:p>
    <w:p>
      <w:pPr>
        <w:ind w:firstLine="567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highlight w:val="white"/>
        </w:rPr>
      </w:pPr>
      <w:r>
        <w:rPr>
          <w:color w:val="000000"/>
          <w:spacing w:val="1"/>
          <w:sz w:val="28"/>
          <w:szCs w:val="28"/>
          <w:highlight w:val="white"/>
        </w:rPr>
      </w:r>
      <w:r>
        <w:rPr>
          <w:color w:val="000000"/>
          <w:spacing w:val="1"/>
          <w:sz w:val="28"/>
          <w:szCs w:val="28"/>
          <w:highlight w:val="white"/>
        </w:rPr>
      </w:r>
    </w:p>
    <w:p>
      <w:pPr>
        <w:ind w:firstLine="567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highlight w:val="white"/>
        </w:rPr>
      </w:pPr>
      <w:r>
        <w:rPr>
          <w:color w:val="000000"/>
          <w:spacing w:val="1"/>
          <w:sz w:val="28"/>
          <w:szCs w:val="28"/>
          <w:highlight w:val="white"/>
        </w:rPr>
      </w:r>
      <w:r>
        <w:rPr>
          <w:color w:val="000000"/>
          <w:spacing w:val="1"/>
          <w:sz w:val="28"/>
          <w:szCs w:val="28"/>
          <w:highlight w:val="white"/>
        </w:rPr>
      </w:r>
    </w:p>
    <w:p>
      <w:pPr>
        <w:rPr>
          <w:color w:val="000000"/>
          <w:highlight w:val="none"/>
        </w:rPr>
      </w:pPr>
      <w:r>
        <w:rPr>
          <w:color w:val="000000"/>
          <w:sz w:val="28"/>
          <w:szCs w:val="28"/>
          <w:highlight w:val="white"/>
        </w:rPr>
        <w:t xml:space="preserve">Начальник відділу соціального </w:t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захисту населення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сім’ї, молоді </w:t>
      </w:r>
      <w:r>
        <w:rPr>
          <w:color w:val="000000"/>
          <w:sz w:val="28"/>
          <w:szCs w:val="28"/>
          <w:highlight w:val="white"/>
        </w:rPr>
      </w:r>
      <w:r/>
    </w:p>
    <w:p>
      <w:pPr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та охорони здоров’я Менської міської </w:t>
      </w:r>
      <w:r>
        <w:rPr>
          <w:color w:val="000000"/>
          <w:sz w:val="28"/>
          <w:szCs w:val="28"/>
          <w:highlight w:val="white"/>
        </w:rPr>
        <w:t xml:space="preserve">ради              </w:t>
      </w:r>
      <w:r>
        <w:rPr>
          <w:color w:val="000000"/>
          <w:sz w:val="28"/>
          <w:szCs w:val="28"/>
          <w:highlight w:val="white"/>
        </w:rPr>
        <w:t xml:space="preserve">   </w:t>
      </w:r>
      <w:r>
        <w:rPr>
          <w:color w:val="000000"/>
          <w:sz w:val="28"/>
          <w:szCs w:val="28"/>
          <w:highlight w:val="white"/>
        </w:rPr>
        <w:t xml:space="preserve">Марина МОСКАЛЬЧУК</w:t>
      </w:r>
      <w:r>
        <w:rPr>
          <w:color w:val="000000"/>
          <w:sz w:val="28"/>
          <w:szCs w:val="28"/>
          <w:highlight w:val="white"/>
        </w:rPr>
      </w:r>
      <w:r/>
    </w:p>
    <w:p>
      <w:pPr>
        <w:ind w:firstLine="567"/>
        <w:jc w:val="both"/>
        <w:shd w:val="clear" w:fill="FFFFFF" w:color="auto"/>
        <w:tabs>
          <w:tab w:val="left" w:pos="998" w:leader="none"/>
        </w:tabs>
        <w:rPr>
          <w:color w:val="000000"/>
          <w:spacing w:val="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shd w:val="nil" w:color="auto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none"/>
        </w:rPr>
        <w:br w:type="page"/>
      </w:r>
      <w:r>
        <w:rPr>
          <w:color w:val="000000"/>
          <w:sz w:val="28"/>
          <w:szCs w:val="28"/>
          <w:highlight w:val="white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Додаток </w:t>
      </w:r>
      <w:r/>
    </w:p>
    <w:p>
      <w:pPr>
        <w:ind w:left="5669"/>
        <w:jc w:val="both"/>
        <w:rPr>
          <w:b/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до Програми</w:t>
      </w:r>
      <w:r>
        <w:rPr>
          <w:color w:val="000000" w:themeColor="text1"/>
          <w:spacing w:val="1"/>
          <w:sz w:val="28"/>
          <w:szCs w:val="28"/>
          <w:highlight w:val="white"/>
        </w:rPr>
        <w:t xml:space="preserve"> забезпечення медичних закладів Менської міської територіальної громади медичними кадрами на 2022 – 2026 роки</w:t>
      </w:r>
      <w:r/>
    </w:p>
    <w:p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Типовий Договір про надання освітніх послуг </w:t>
      </w:r>
      <w:r/>
    </w:p>
    <w:p>
      <w:pPr>
        <w:pStyle w:val="955"/>
        <w:ind w:firstLine="0"/>
        <w:jc w:val="center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i/>
          <w:color w:val="000000"/>
          <w:sz w:val="20"/>
          <w:highlight w:val="white"/>
        </w:rPr>
      </w:pPr>
      <w:r>
        <w:rPr>
          <w:rFonts w:ascii="Times New Roman" w:hAnsi="Times New Roman"/>
          <w:i/>
          <w:color w:val="000000" w:themeColor="text1"/>
          <w:sz w:val="20"/>
          <w:highlight w:val="white"/>
        </w:rPr>
        <w:t xml:space="preserve">(повне найменування  навчального закладу із  зазначенням форми власності та підпорядкування)</w:t>
      </w:r>
      <w:r/>
    </w:p>
    <w:p>
      <w:pPr>
        <w:pStyle w:val="955"/>
        <w:ind w:firstLine="0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особі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_________________________________,</w:t>
      </w:r>
      <w:r/>
    </w:p>
    <w:p>
      <w:pPr>
        <w:pStyle w:val="955"/>
        <w:ind w:left="851" w:firstLine="0"/>
        <w:jc w:val="center"/>
        <w:spacing w:before="0" w:beforeAutospacing="0"/>
        <w:rPr>
          <w:rFonts w:ascii="Times New Roman" w:hAnsi="Times New Roman"/>
          <w:i/>
          <w:color w:val="000000"/>
          <w:sz w:val="20"/>
          <w:highlight w:val="white"/>
        </w:rPr>
      </w:pPr>
      <w:r>
        <w:rPr>
          <w:rFonts w:ascii="Times New Roman" w:hAnsi="Times New Roman"/>
          <w:i/>
          <w:color w:val="000000" w:themeColor="text1"/>
          <w:sz w:val="20"/>
          <w:highlight w:val="white"/>
        </w:rPr>
        <w:t xml:space="preserve">(посада, прізвище, ім’я, по батькові керівника  навчального закладу/керівника відокремленого структурного підрозділу, який діє на підставі статуту вищого навчального закладу/положення про відокремлений структурний підрозділ),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(далі - Виконавець)  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та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_________________________,</w:t>
      </w:r>
      <w:r/>
    </w:p>
    <w:p>
      <w:pPr>
        <w:pStyle w:val="955"/>
        <w:jc w:val="center"/>
        <w:spacing w:before="0" w:beforeAutospacing="0"/>
        <w:rPr>
          <w:rFonts w:ascii="Times New Roman" w:hAnsi="Times New Roman"/>
          <w:i/>
          <w:color w:val="000000"/>
          <w:sz w:val="20"/>
          <w:highlight w:val="white"/>
        </w:rPr>
      </w:pPr>
      <w:r>
        <w:rPr>
          <w:rFonts w:ascii="Times New Roman" w:hAnsi="Times New Roman"/>
          <w:i/>
          <w:color w:val="000000" w:themeColor="text1"/>
          <w:sz w:val="20"/>
          <w:highlight w:val="white"/>
        </w:rPr>
        <w:t xml:space="preserve">(повне найменування юридичної особи,  яка замовляє освітню послугу)</w:t>
      </w:r>
      <w:r/>
    </w:p>
    <w:p>
      <w:pPr>
        <w:pStyle w:val="955"/>
        <w:ind w:left="2835" w:firstLine="426"/>
        <w:jc w:val="center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/>
          <w:sz w:val="20"/>
          <w:highlight w:val="white"/>
        </w:rPr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(далі - Замовник) 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для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_______________________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</w:t>
      </w:r>
      <w:r/>
    </w:p>
    <w:p>
      <w:pPr>
        <w:pStyle w:val="955"/>
        <w:jc w:val="center"/>
        <w:spacing w:before="0" w:beforeAutospacing="0"/>
        <w:rPr>
          <w:rFonts w:ascii="Times New Roman" w:hAnsi="Times New Roman"/>
          <w:i/>
          <w:color w:val="000000"/>
          <w:sz w:val="20"/>
          <w:highlight w:val="white"/>
        </w:rPr>
      </w:pPr>
      <w:r>
        <w:rPr>
          <w:rFonts w:ascii="Times New Roman" w:hAnsi="Times New Roman"/>
          <w:i/>
          <w:color w:val="000000" w:themeColor="text1"/>
          <w:sz w:val="20"/>
          <w:highlight w:val="white"/>
        </w:rPr>
        <w:t xml:space="preserve">(прізвище, ім’я, по батькові фізичної особи - Студента) 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(далі - Одержувач),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та 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_____________________________________________________________________________</w:t>
      </w:r>
      <w:r/>
    </w:p>
    <w:p>
      <w:pPr>
        <w:pStyle w:val="955"/>
        <w:ind w:left="708" w:firstLine="708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 w:themeColor="text1"/>
          <w:sz w:val="20"/>
          <w:highlight w:val="white"/>
        </w:rPr>
        <w:t xml:space="preserve">(прізвище, ім’я, по батькові фізичної особи – одного з батьків (опікунів) Студента) 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(далі – Поручитель) уклали цей договір про таке:</w:t>
      </w:r>
      <w:r/>
    </w:p>
    <w:p>
      <w:pPr>
        <w:ind w:firstLine="851"/>
        <w:jc w:val="both"/>
        <w:spacing w:before="0" w:beforeAutospacing="0"/>
        <w:tabs>
          <w:tab w:val="left" w:pos="318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3180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1. Предмет Договору:</w:t>
      </w:r>
      <w:r/>
    </w:p>
    <w:p>
      <w:pPr>
        <w:pStyle w:val="955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1.1. Предметом Договору є надання освітньої послуги.</w:t>
      </w:r>
      <w:r/>
    </w:p>
    <w:p>
      <w:pPr>
        <w:pStyle w:val="955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Виконавець бере на себе зобов’язання за рахунок коштів Замовника здійснити надання Одержувачу освітньої послуги, а саме: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(освітня послуга) </w:t>
      </w:r>
      <w:r>
        <w:rPr>
          <w:rFonts w:ascii="Times New Roman" w:hAnsi="Times New Roman"/>
          <w:color w:val="000000" w:themeColor="text1"/>
          <w:sz w:val="20"/>
          <w:highlight w:val="white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(форма навчання)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________________________________________________________________________________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(місце та строк надання освітньої послуги)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(ступінь  освіти)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(назва спеціальності)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________________________________________________________________________________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(обсяг навчального навантаження здобувача освіти)</w:t>
      </w:r>
      <w:r/>
      <w:r>
        <w:rPr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2432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2. Права та обов’язки Виконавця:</w:t>
      </w:r>
      <w:r/>
    </w:p>
    <w:p>
      <w:pPr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  <w:t xml:space="preserve">2.1.Виконавець зобов’язаний:</w:t>
      </w:r>
      <w:r/>
    </w:p>
    <w:p>
      <w:pPr>
        <w:ind w:firstLine="708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2.1.1.Надати освітню послугу на рівні державних стандартів освіти.</w:t>
      </w:r>
      <w:r/>
    </w:p>
    <w:p>
      <w:pPr>
        <w:ind w:firstLine="708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2.1.2.Інформувати Замовника та Одержувача про правила та вимоги щодо організації надання освітньої послуги, її якості та змісту, про права й обов’язки сторін під час надання та отримання таких послуг.</w:t>
      </w:r>
      <w:r/>
    </w:p>
    <w:p>
      <w:pPr>
        <w:ind w:firstLine="708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2.1.3.Забезпечити дотримання прав учасників навчального процесу відповідно до законодавства.</w:t>
      </w:r>
      <w:r/>
    </w:p>
    <w:p>
      <w:pPr>
        <w:ind w:firstLine="708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2.1.4. У разі дострокового припинення дії Договору (не</w:t>
      </w:r>
      <w:r>
        <w:rPr>
          <w:color w:val="000000" w:themeColor="text1"/>
          <w:sz w:val="28"/>
          <w:szCs w:val="28"/>
          <w:highlight w:val="white"/>
        </w:rPr>
        <w:t xml:space="preserve">залежно від підстав для такого припинення) у зв’язку з ненаданням освітньої послуги - повернути частину коштів, що були внесені Замовником як попередня оплата за надання освітньої послуги (повертаються кошти за семестри, навчання в яких не було розпочато).</w:t>
      </w:r>
      <w:r/>
    </w:p>
    <w:p>
      <w:pPr>
        <w:ind w:firstLine="708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2.1.5.Видати Одержувачу документ про освіту державного зразка за умови виконання навчального плану та успішної здачі державних іспитів.</w:t>
      </w:r>
      <w:r/>
    </w:p>
    <w:p>
      <w:pPr>
        <w:ind w:firstLine="567"/>
        <w:jc w:val="both"/>
        <w:spacing w:before="0" w:beforeAutospacing="0"/>
        <w:tabs>
          <w:tab w:val="left" w:pos="2107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2.2.Виконавець має право:</w:t>
      </w:r>
      <w:r/>
    </w:p>
    <w:p>
      <w:pPr>
        <w:ind w:firstLine="567"/>
        <w:jc w:val="both"/>
        <w:spacing w:before="0" w:beforeAutospacing="0"/>
        <w:tabs>
          <w:tab w:val="left" w:pos="2107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2.2.1. Вимагати  своєчасну оплату наданих ним освітніх послуг від Замовника.</w:t>
      </w:r>
      <w:r/>
    </w:p>
    <w:p>
      <w:pPr>
        <w:ind w:firstLine="708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2.2.2.Вимагати від Одержувача дотримання Статуту та Правил внутрішнього розпорядку навчального закладу, виконання ним  графіка навчального процесу та навчального плану.</w:t>
      </w:r>
      <w:r/>
      <w:r>
        <w:rPr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2107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3. Права та обов’язки Замовника</w:t>
      </w:r>
      <w:r/>
    </w:p>
    <w:p>
      <w:pPr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  <w:t xml:space="preserve">3.1.Замовник зобов’язується:</w:t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  <w:t xml:space="preserve">3.1.1. Своєчасно вносити плату за отриману освітню послугу в розмірах та у строки, що встановлені цим Договором.</w:t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  <w:t xml:space="preserve">3.2. Замовник має право:</w:t>
      </w:r>
      <w:r/>
    </w:p>
    <w:p>
      <w:pPr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ab/>
        <w:t xml:space="preserve">3.2.1.Визначитися із спеціалізацією Одержувача  виходячи з потреб лікувального закладу в спеціалістах.</w:t>
      </w:r>
      <w:r/>
      <w:r>
        <w:rPr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2447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4. Одержувач зобов’язується</w:t>
      </w:r>
      <w:r/>
    </w:p>
    <w:p>
      <w:pPr>
        <w:ind w:firstLine="567"/>
        <w:jc w:val="both"/>
        <w:spacing w:before="0" w:beforeAutospacing="0"/>
        <w:tabs>
          <w:tab w:val="left" w:pos="90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4.1. Дотримуватися законів, Статуту та Правил внутрішнього розпорядку </w:t>
      </w:r>
      <w:r>
        <w:rPr>
          <w:i/>
          <w:color w:val="000000" w:themeColor="text1"/>
          <w:sz w:val="16"/>
          <w:szCs w:val="16"/>
          <w:highlight w:val="white"/>
        </w:rPr>
        <w:t xml:space="preserve">__________________________________________________________________________________________________</w:t>
      </w:r>
      <w:r/>
    </w:p>
    <w:p>
      <w:pPr>
        <w:ind w:firstLine="567"/>
        <w:jc w:val="center"/>
        <w:spacing w:before="0" w:beforeAutospacing="0"/>
        <w:tabs>
          <w:tab w:val="left" w:pos="903" w:leader="none"/>
        </w:tabs>
        <w:rPr>
          <w:i/>
          <w:color w:val="000000"/>
          <w:sz w:val="16"/>
          <w:szCs w:val="16"/>
          <w:highlight w:val="white"/>
        </w:rPr>
      </w:pPr>
      <w:r>
        <w:rPr>
          <w:i/>
          <w:color w:val="000000" w:themeColor="text1"/>
          <w:sz w:val="16"/>
          <w:szCs w:val="16"/>
          <w:highlight w:val="white"/>
        </w:rPr>
        <w:t xml:space="preserve">(назва навчального закладу)</w:t>
      </w:r>
      <w:r/>
    </w:p>
    <w:p>
      <w:pPr>
        <w:jc w:val="both"/>
        <w:spacing w:before="0" w:beforeAutospacing="0"/>
        <w:tabs>
          <w:tab w:val="left" w:pos="90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виконувати графік навчального процесу і вимоги навчального плану.</w:t>
      </w:r>
      <w:r/>
    </w:p>
    <w:p>
      <w:pPr>
        <w:ind w:firstLine="567"/>
        <w:jc w:val="both"/>
        <w:spacing w:before="0" w:beforeAutospacing="0"/>
        <w:tabs>
          <w:tab w:val="left" w:pos="90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4.2.Успішно виконувати вимоги освітньо-професійної програми і навчального плану за фахом, оволодіти всіма видами професійної діяльності, передбаченими освітньо-кваліфікаційною характеристикою фахівця.</w:t>
      </w:r>
      <w:r/>
    </w:p>
    <w:p>
      <w:pPr>
        <w:ind w:firstLine="567"/>
        <w:jc w:val="both"/>
        <w:spacing w:before="0" w:beforeAutospacing="0"/>
        <w:tabs>
          <w:tab w:val="left" w:pos="90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4.3.Прибути після закінчення навчання і отримання спеціальності на роботу до Замовника та відпрацювати за одержаним фахом 10 (десять) років.</w:t>
      </w:r>
      <w:r/>
    </w:p>
    <w:p>
      <w:pPr>
        <w:ind w:firstLine="567"/>
        <w:jc w:val="both"/>
        <w:spacing w:before="0" w:beforeAutospacing="0"/>
        <w:tabs>
          <w:tab w:val="left" w:pos="1089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4.4. Відшкодувати вартість навчання та компенсувати інші витрати, яких зазнає Замовник в разі:</w:t>
      </w:r>
      <w:r/>
    </w:p>
    <w:p>
      <w:pPr>
        <w:ind w:firstLine="567"/>
        <w:jc w:val="both"/>
        <w:spacing w:before="0" w:beforeAutospacing="0"/>
        <w:tabs>
          <w:tab w:val="left" w:pos="1089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-відрахування із навчального закладу;</w:t>
      </w:r>
      <w:r/>
    </w:p>
    <w:p>
      <w:pPr>
        <w:ind w:firstLine="567"/>
        <w:jc w:val="both"/>
        <w:spacing w:before="0" w:beforeAutospacing="0"/>
        <w:tabs>
          <w:tab w:val="left" w:pos="879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неприбуття на роботу;</w:t>
      </w:r>
      <w:r/>
    </w:p>
    <w:p>
      <w:pPr>
        <w:ind w:firstLine="567"/>
        <w:jc w:val="both"/>
        <w:spacing w:before="0" w:beforeAutospacing="0"/>
        <w:tabs>
          <w:tab w:val="left" w:pos="68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відмови стати до роботи без поважної причини (поважною причиною вважається: стан здоров’я, який перешкоджає виконувати обов’язки за фахом відповідно до медичного висновку);</w:t>
      </w:r>
      <w:r/>
    </w:p>
    <w:p>
      <w:pPr>
        <w:ind w:firstLine="567"/>
        <w:jc w:val="both"/>
        <w:spacing w:before="0" w:beforeAutospacing="0"/>
        <w:tabs>
          <w:tab w:val="left" w:pos="682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звільнення з ініціативи керівника або уповноваженого ним органу за порушення трудової дисципліни;</w:t>
      </w:r>
      <w:r/>
    </w:p>
    <w:p>
      <w:pPr>
        <w:ind w:firstLine="567"/>
        <w:jc w:val="both"/>
        <w:spacing w:before="0" w:beforeAutospacing="0"/>
        <w:tabs>
          <w:tab w:val="left" w:pos="68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звільнення за власним бажанням, без поважних причин до закінчення визначеного Договором строку.</w:t>
      </w:r>
      <w:r/>
      <w:r>
        <w:rPr>
          <w:b/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2612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5. Поручитель зобов’язується</w:t>
      </w:r>
      <w:r/>
    </w:p>
    <w:p>
      <w:pPr>
        <w:ind w:firstLine="567"/>
        <w:jc w:val="both"/>
        <w:spacing w:before="0" w:beforeAutospacing="0"/>
        <w:tabs>
          <w:tab w:val="left" w:pos="138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5.1. Відшкодувати вартість навчання та компенсувати інші витрати, яких зазнає Замовник в разі не виконання Одержувачем своїх зобов’язань, передбачених п.4 Договору.</w:t>
      </w:r>
      <w:r/>
      <w:r>
        <w:rPr>
          <w:b/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1247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6. Плата за надання освітньої послуги та порядок розрахунків</w:t>
      </w:r>
      <w:r/>
    </w:p>
    <w:p>
      <w:pPr>
        <w:pStyle w:val="955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6.1.Розмір плати за надання освітньої послуги у повному обсязі встановл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юється в національній валюті,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Замовника.</w:t>
      </w:r>
      <w:r/>
    </w:p>
    <w:p>
      <w:pPr>
        <w:pStyle w:val="955"/>
        <w:jc w:val="both"/>
        <w:spacing w:before="0" w:beforeAutospacing="0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6.2.Загальна вартість освітньої послуги за весь строк навчання становить ________________________________________ _________________ гривень.</w:t>
      </w:r>
      <w:r/>
    </w:p>
    <w:p>
      <w:pPr>
        <w:pStyle w:val="955"/>
        <w:ind w:firstLine="425"/>
        <w:jc w:val="both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  <w:lang w:val="ru-RU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(сума цифрами і словами)</w:t>
      </w:r>
      <w:r/>
    </w:p>
    <w:p>
      <w:pPr>
        <w:pStyle w:val="955"/>
        <w:ind w:firstLine="425"/>
        <w:jc w:val="both"/>
        <w:spacing w:before="0" w:beforeAutospacing="0"/>
        <w:rPr>
          <w:rFonts w:ascii="Times New Roman" w:hAnsi="Times New Roman"/>
          <w:i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highlight w:val="white"/>
        </w:rPr>
        <w:t xml:space="preserve">У разі коли платна освітня послуга надається протягом кількох років, у договорі зазначається вартість освітньої послуги за кожний календарний рік окремо.</w:t>
      </w:r>
      <w:r/>
    </w:p>
    <w:p>
      <w:pPr>
        <w:pStyle w:val="955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6.3. Замовник вносить плату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</w:t>
      </w:r>
      <w:r/>
    </w:p>
    <w:p>
      <w:pPr>
        <w:pStyle w:val="955"/>
        <w:ind w:left="4253" w:firstLine="0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  <w:lang w:val="ru-RU"/>
        </w:rPr>
        <w:t xml:space="preserve">  </w:t>
      </w: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(одноразово (щороку, </w:t>
      </w: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щосеместрово</w:t>
      </w: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, щомісяця) із зазначенням способу оплати (готівкою, безготівково)</w:t>
      </w:r>
      <w:r/>
    </w:p>
    <w:p>
      <w:pPr>
        <w:pStyle w:val="955"/>
        <w:ind w:firstLine="0"/>
        <w:jc w:val="both"/>
        <w:spacing w:before="0" w:beforeAutospacing="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не пізніше ніж за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  <w:lang w:val="ru-RU"/>
        </w:rPr>
        <w:t xml:space="preserve">_______________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_______________________________.</w:t>
      </w:r>
      <w:r/>
    </w:p>
    <w:p>
      <w:pPr>
        <w:pStyle w:val="955"/>
        <w:ind w:left="3969" w:firstLine="426"/>
        <w:jc w:val="both"/>
        <w:spacing w:before="0" w:beforeAutospacing="0"/>
        <w:rPr>
          <w:rFonts w:ascii="Times New Roman" w:hAnsi="Times New Roman"/>
          <w:color w:val="000000"/>
          <w:sz w:val="20"/>
          <w:highlight w:val="white"/>
        </w:rPr>
      </w:pPr>
      <w:r>
        <w:rPr>
          <w:rFonts w:ascii="Times New Roman" w:hAnsi="Times New Roman"/>
          <w:color w:val="000000" w:themeColor="text1"/>
          <w:sz w:val="20"/>
          <w:highlight w:val="white"/>
        </w:rPr>
        <w:t xml:space="preserve">(зазначається день, місяць, рік)</w:t>
      </w:r>
      <w:r/>
    </w:p>
    <w:p>
      <w:pPr>
        <w:jc w:val="center"/>
        <w:spacing w:before="0" w:beforeAutospacing="0"/>
        <w:tabs>
          <w:tab w:val="left" w:pos="2087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7. Відповідальність сторін за невиконання або неналежне виконання зобов’язань</w:t>
      </w:r>
      <w:r/>
    </w:p>
    <w:p>
      <w:pPr>
        <w:ind w:firstLine="567"/>
        <w:jc w:val="both"/>
        <w:spacing w:before="0" w:beforeAutospacing="0"/>
        <w:tabs>
          <w:tab w:val="left" w:pos="138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7.1.За невиконання або неналежне виконання зобов’язань за цим договором сторони несуть відповідальність згідно з чинним законодавством.</w:t>
      </w:r>
      <w:r/>
    </w:p>
    <w:p>
      <w:pPr>
        <w:ind w:firstLine="567"/>
        <w:jc w:val="both"/>
        <w:spacing w:before="0" w:beforeAutospacing="0"/>
        <w:tabs>
          <w:tab w:val="left" w:pos="138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7.2. При несвоєчасному внесенні коштів за навчання відповідно до п.  6.3. цього договору, особа, яка навчається (Одержувач) - не допускається до занять (до погашення заборгованості).</w:t>
      </w:r>
      <w:r/>
      <w:r>
        <w:rPr>
          <w:b/>
          <w:color w:val="000000"/>
          <w:sz w:val="28"/>
          <w:szCs w:val="28"/>
          <w:highlight w:val="white"/>
        </w:rPr>
      </w:r>
      <w:r/>
    </w:p>
    <w:p>
      <w:pPr>
        <w:ind w:firstLine="851"/>
        <w:jc w:val="center"/>
        <w:spacing w:before="0" w:beforeAutospacing="0"/>
        <w:tabs>
          <w:tab w:val="left" w:pos="3005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8. Строк дії Договору</w:t>
      </w:r>
      <w:r/>
    </w:p>
    <w:p>
      <w:pPr>
        <w:ind w:firstLine="567"/>
        <w:jc w:val="both"/>
        <w:spacing w:before="0" w:beforeAutospacing="0"/>
        <w:tabs>
          <w:tab w:val="left" w:pos="138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8.1.Термін дії Договору:</w:t>
      </w:r>
      <w:r/>
    </w:p>
    <w:p>
      <w:pPr>
        <w:ind w:firstLine="567"/>
        <w:jc w:val="both"/>
        <w:spacing w:before="0" w:beforeAutospacing="0"/>
        <w:tabs>
          <w:tab w:val="left" w:pos="138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8.1.1.Щодо відносин між Виконавцем та Замовником - з моменту підписання до закінчення строку навчання;</w:t>
      </w:r>
      <w:r/>
    </w:p>
    <w:p>
      <w:pPr>
        <w:ind w:firstLine="567"/>
        <w:jc w:val="both"/>
        <w:spacing w:before="0" w:beforeAutospacing="0"/>
        <w:tabs>
          <w:tab w:val="left" w:pos="1381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8.1.2.</w:t>
      </w:r>
      <w:r>
        <w:rPr>
          <w:color w:val="000000" w:themeColor="text1"/>
          <w:sz w:val="28"/>
          <w:szCs w:val="28"/>
          <w:highlight w:val="white"/>
        </w:rPr>
        <w:t xml:space="preserve">Щодо відносин між Замовником, Одержувачем та Поручителем – до повного виконання Одержувачем умов Договору, передбачених п.4.3 (або повного повернення коштів за навчання та інших витрат, понесених Замовником, у випадках, передбачених пунктом 4.4 Договору) .</w:t>
      </w:r>
      <w:r/>
    </w:p>
    <w:p>
      <w:pPr>
        <w:ind w:firstLine="851"/>
        <w:jc w:val="center"/>
        <w:spacing w:before="0" w:beforeAutospacing="0"/>
        <w:tabs>
          <w:tab w:val="left" w:pos="1991" w:leader="none"/>
        </w:tabs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9. Припинення, зміни та розірвання Договору</w:t>
      </w:r>
      <w:r/>
    </w:p>
    <w:p>
      <w:pPr>
        <w:ind w:firstLine="567"/>
        <w:jc w:val="both"/>
        <w:spacing w:before="0" w:beforeAutospacing="0"/>
        <w:tabs>
          <w:tab w:val="left" w:pos="1470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9.1.Даний Договір може бути змінений або розірваний тільки за згодою сторін.</w:t>
      </w:r>
      <w:r/>
    </w:p>
    <w:p>
      <w:pPr>
        <w:ind w:firstLine="567"/>
        <w:jc w:val="both"/>
        <w:spacing w:before="0" w:beforeAutospacing="0"/>
        <w:tabs>
          <w:tab w:val="left" w:pos="1472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9.2. Зміни або доповнення до цього Договору дійсні лише у випадку, якщо вони оформлені у письмовому вигляді та підписані всіма сторонами.</w:t>
      </w:r>
      <w:r/>
    </w:p>
    <w:p>
      <w:pPr>
        <w:ind w:firstLine="567"/>
        <w:jc w:val="both"/>
        <w:spacing w:before="0" w:beforeAutospacing="0"/>
        <w:tabs>
          <w:tab w:val="left" w:pos="146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9.3. Дія договору припиняється:</w:t>
      </w:r>
      <w:r/>
    </w:p>
    <w:p>
      <w:pPr>
        <w:ind w:firstLine="567"/>
        <w:jc w:val="both"/>
        <w:spacing w:before="0" w:beforeAutospacing="0"/>
        <w:tabs>
          <w:tab w:val="left" w:pos="1173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за згодою сторін;</w:t>
      </w:r>
      <w:r/>
    </w:p>
    <w:p>
      <w:pPr>
        <w:ind w:firstLine="567"/>
        <w:jc w:val="both"/>
        <w:spacing w:before="0" w:beforeAutospacing="0"/>
        <w:tabs>
          <w:tab w:val="left" w:pos="1158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у разі ліквідації юридичної особи - Замовника або Виконавця, якщо не визначена юридична особа, що є правонаступником ліквідованої сторони;</w:t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- за рішенням суду в разі систематичного порушення або невиконання умов Договору.</w:t>
      </w:r>
      <w:r/>
    </w:p>
    <w:p>
      <w:pPr>
        <w:ind w:firstLine="567"/>
        <w:jc w:val="both"/>
        <w:spacing w:before="0" w:beforeAutospacing="0"/>
        <w:tabs>
          <w:tab w:val="left" w:pos="1418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9.4. Дія Договору призупиняється в разі надання академічної відпустки студенту згідно із законодавством на весь строк такої відпустки.</w:t>
      </w:r>
      <w:r/>
    </w:p>
    <w:p>
      <w:pPr>
        <w:ind w:firstLine="567"/>
        <w:jc w:val="both"/>
        <w:spacing w:before="0" w:beforeAutospacing="0"/>
        <w:tabs>
          <w:tab w:val="left" w:pos="1416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9.5.</w:t>
      </w:r>
      <w:r>
        <w:rPr>
          <w:color w:val="000000" w:themeColor="text1"/>
          <w:sz w:val="28"/>
          <w:szCs w:val="28"/>
          <w:highlight w:val="white"/>
        </w:rPr>
        <w:tab/>
        <w:t xml:space="preserve"> Даний Договір складений у 4-х оригінальних примірниках по одному для кожної із сторін.</w:t>
      </w:r>
      <w:r/>
    </w:p>
    <w:p>
      <w:pPr>
        <w:pStyle w:val="955"/>
        <w:ind w:firstLine="426"/>
        <w:jc w:val="center"/>
        <w:spacing w:before="0" w:beforeAutospacing="0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 xml:space="preserve">10.Місцезнаходження та реквізити сторін:</w:t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4825"/>
        <w:gridCol w:w="481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03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Замовник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7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Виконавець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03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(адреса)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7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(адреса)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03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(банківські реквізити)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7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(банківські реквізити)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03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(найменування юридичної особи)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7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(найменування юридичної особи)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03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(код згідно з ЄДРП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ОУ/реєстраційний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7" w:type="pct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(код згідно з ЄДРП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ОУ/реєстраційний номер облікової картки платника податків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03" w:type="pct"/>
            <w:textDirection w:val="lrTb"/>
            <w:noWrap w:val="false"/>
          </w:tcPr>
          <w:p>
            <w:pPr>
              <w:pStyle w:val="95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     ________________</w:t>
            </w:r>
            <w:r/>
          </w:p>
          <w:p>
            <w:pPr>
              <w:pStyle w:val="955"/>
              <w:ind w:firstLine="2268"/>
              <w:jc w:val="both"/>
              <w:spacing w:before="0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(підпис)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97" w:type="pct"/>
            <w:textDirection w:val="lrTb"/>
            <w:noWrap w:val="false"/>
          </w:tcPr>
          <w:p>
            <w:pPr>
              <w:pStyle w:val="95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     ________________</w:t>
            </w:r>
            <w:r/>
          </w:p>
          <w:p>
            <w:pPr>
              <w:pStyle w:val="955"/>
              <w:ind w:firstLine="2268"/>
              <w:jc w:val="both"/>
              <w:spacing w:before="0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(підпис)</w:t>
            </w:r>
            <w:r/>
          </w:p>
        </w:tc>
      </w:tr>
    </w:tbl>
    <w:p>
      <w:pPr>
        <w:pStyle w:val="955"/>
        <w:ind w:firstLine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56"/>
        <w:gridCol w:w="3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Одержувач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Поручитель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(П.І.Б)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(П.І.Б)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(адреса)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(адреса)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(назва документа)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(назва документа)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(ким і коли затверджений/виданий)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(ким і коли затверджений/виданий)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(реєстраційний номер облікової картки платника податків або серія та номер паспорта (для фізичних осіб, які через свої релігійні переконання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відмовляються від прийняття реєстраційного номера облікової картки платника податків і мають відмітку у паспорті)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(реєстраційний номер облікової картки платника податків або серія та номер паспорта (для фізичних осіб, які через свої релігійні переконання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відмовляються від прийняття реєстраційного номера облікової картки платника податків і мають відмітку у паспорті)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                 ________________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(підпис)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56" w:type="dxa"/>
            <w:textDirection w:val="lrTb"/>
            <w:noWrap w:val="false"/>
          </w:tcPr>
          <w:p>
            <w:pPr>
              <w:pStyle w:val="95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                  ________________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0"/>
                <w:highlight w:val="white"/>
              </w:rPr>
              <w:t xml:space="preserve">(підпис)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2" w:type="dxa"/>
            <w:textDirection w:val="lrTb"/>
            <w:noWrap w:val="false"/>
          </w:tcPr>
          <w:p>
            <w:pPr>
              <w:pStyle w:val="955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r>
            <w:r/>
          </w:p>
        </w:tc>
      </w:tr>
    </w:tbl>
    <w:p>
      <w:pPr>
        <w:rPr>
          <w:color w:val="000000"/>
          <w:highlight w:val="white"/>
        </w:rPr>
      </w:pPr>
      <w:r>
        <w:rPr>
          <w:color w:val="000000"/>
          <w:highlight w:val="white"/>
        </w:rPr>
      </w:r>
      <w:r/>
    </w:p>
    <w:p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white"/>
        </w:rPr>
        <w:t xml:space="preserve">Начальник відділу соціального </w:t>
      </w:r>
      <w:r/>
    </w:p>
    <w:p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захисту населення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color w:val="000000"/>
          <w:sz w:val="28"/>
          <w:szCs w:val="28"/>
          <w:highlight w:val="white"/>
        </w:rPr>
        <w:t xml:space="preserve">сім’ї, молоді </w:t>
      </w:r>
      <w:r/>
    </w:p>
    <w:p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та охорони здоров’я Менської міської </w:t>
      </w:r>
      <w:r>
        <w:rPr>
          <w:color w:val="000000"/>
          <w:sz w:val="28"/>
          <w:szCs w:val="28"/>
          <w:highlight w:val="white"/>
        </w:rPr>
        <w:t xml:space="preserve">ради              </w:t>
      </w:r>
      <w:bookmarkStart w:id="0" w:name="_GoBack"/>
      <w:r/>
      <w:bookmarkEnd w:id="0"/>
      <w:r>
        <w:rPr>
          <w:color w:val="000000"/>
          <w:sz w:val="28"/>
          <w:szCs w:val="28"/>
          <w:highlight w:val="white"/>
        </w:rPr>
        <w:t xml:space="preserve">   </w:t>
      </w:r>
      <w:r>
        <w:rPr>
          <w:color w:val="000000"/>
          <w:sz w:val="28"/>
          <w:szCs w:val="28"/>
          <w:highlight w:val="white"/>
        </w:rPr>
        <w:t xml:space="preserve">Марина МОСКАЛЬЧУК</w:t>
      </w:r>
      <w:r/>
      <w:r>
        <w:rPr>
          <w:color w:val="000000"/>
          <w:highlight w:val="white"/>
        </w:rPr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antiqua">
    <w:panose1 w:val="020704090202050204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  <w:rPr>
        <w:rStyle w:val="942"/>
      </w:rPr>
      <w:framePr w:wrap="around" w:vAnchor="text" w:hAnchor="margin" w:xAlign="center" w:y="1"/>
    </w:pPr>
    <w:r/>
    <w:r/>
  </w:p>
  <w:p>
    <w:pPr>
      <w:pStyle w:val="793"/>
    </w:pPr>
    <w:r>
      <w:tab/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3"/>
      <w:rPr>
        <w:rStyle w:val="942"/>
      </w:rPr>
      <w:framePr w:wrap="around" w:vAnchor="text" w:hAnchor="margin" w:xAlign="center" w:y="1"/>
    </w:pPr>
    <w:r>
      <w:rPr>
        <w:rStyle w:val="942"/>
      </w:rPr>
      <w:fldChar w:fldCharType="begin"/>
    </w:r>
    <w:r>
      <w:rPr>
        <w:rStyle w:val="942"/>
      </w:rPr>
      <w:instrText xml:space="preserve">PAGE  </w:instrText>
    </w:r>
    <w:r>
      <w:rPr>
        <w:rStyle w:val="942"/>
      </w:rPr>
      <w:fldChar w:fldCharType="end"/>
    </w:r>
    <w:r/>
  </w:p>
  <w:p>
    <w:pPr>
      <w:pStyle w:val="7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50173732"/>
      <w:docPartObj>
        <w:docPartGallery w:val="Page Numbers (Top of Page)"/>
        <w:docPartUnique w:val="true"/>
      </w:docPartObj>
      <w:rPr/>
    </w:sdtPr>
    <w:sdtContent>
      <w:p>
        <w:pPr>
          <w:pStyle w:val="791"/>
          <w:jc w:val="right"/>
          <w:tabs>
            <w:tab w:val="center" w:pos="3969" w:leader="none"/>
            <w:tab w:val="clear" w:pos="4677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>
          <w:tab/>
        </w:r>
        <w:r>
          <w:rPr>
            <w:i/>
            <w:sz w:val="24"/>
          </w:rPr>
          <w:t xml:space="preserve">продовження додатка</w:t>
        </w:r>
        <w:r/>
      </w:p>
    </w:sdtContent>
  </w:sdt>
  <w:p>
    <w:pPr>
      <w:pStyle w:val="791"/>
      <w:jc w:val="right"/>
      <w:rPr>
        <w:i/>
        <w:sz w:val="24"/>
      </w:rPr>
    </w:pP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rPr>
        <w:rStyle w:val="942"/>
      </w:rPr>
      <w:framePr w:wrap="around" w:vAnchor="text" w:hAnchor="margin" w:xAlign="center" w:y="1"/>
    </w:pPr>
    <w:r>
      <w:rPr>
        <w:rStyle w:val="942"/>
      </w:rPr>
      <w:fldChar w:fldCharType="begin"/>
    </w:r>
    <w:r>
      <w:rPr>
        <w:rStyle w:val="942"/>
      </w:rPr>
      <w:instrText xml:space="preserve">PAGE  </w:instrText>
    </w:r>
    <w:r>
      <w:rPr>
        <w:rStyle w:val="942"/>
      </w:rPr>
      <w:fldChar w:fldCharType="end"/>
    </w:r>
    <w:r/>
  </w:p>
  <w:p>
    <w:pPr>
      <w:pStyle w:val="7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1260" w:hanging="1260"/>
      </w:pPr>
    </w:lvl>
    <w:lvl w:ilvl="1">
      <w:start w:val="2024"/>
      <w:numFmt w:val="decimal"/>
      <w:isLgl w:val="false"/>
      <w:suff w:val="tab"/>
      <w:lvlText w:val="%1-%2"/>
      <w:lvlJc w:val="left"/>
      <w:pPr>
        <w:ind w:left="6090" w:hanging="126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0920" w:hanging="126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5750" w:hanging="126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20580" w:hanging="126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2559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30420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9926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24736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1260" w:hanging="1260"/>
      </w:pPr>
    </w:lvl>
    <w:lvl w:ilvl="1">
      <w:start w:val="2024"/>
      <w:numFmt w:val="decimal"/>
      <w:isLgl w:val="false"/>
      <w:suff w:val="tab"/>
      <w:lvlText w:val="%1-%2"/>
      <w:lvlJc w:val="left"/>
      <w:pPr>
        <w:ind w:left="7350" w:hanging="126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3440" w:hanging="126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9530" w:hanging="126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25620" w:hanging="126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3189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-27556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1106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14656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1260" w:hanging="1260"/>
      </w:pPr>
      <w:rPr>
        <w:i/>
      </w:rPr>
    </w:lvl>
    <w:lvl w:ilvl="1">
      <w:start w:val="2024"/>
      <w:numFmt w:val="decimal"/>
      <w:isLgl w:val="false"/>
      <w:suff w:val="tab"/>
      <w:lvlText w:val="%1-%2"/>
      <w:lvlJc w:val="left"/>
      <w:pPr>
        <w:ind w:left="6090" w:hanging="1260"/>
      </w:pPr>
      <w:rPr>
        <w:i/>
      </w:rPr>
    </w:lvl>
    <w:lvl w:ilvl="2">
      <w:start w:val="1"/>
      <w:numFmt w:val="decimal"/>
      <w:isLgl w:val="false"/>
      <w:suff w:val="tab"/>
      <w:lvlText w:val="%1-%2.%3"/>
      <w:lvlJc w:val="left"/>
      <w:pPr>
        <w:ind w:left="10920" w:hanging="1260"/>
      </w:pPr>
      <w:rPr>
        <w:i/>
      </w:rPr>
    </w:lvl>
    <w:lvl w:ilvl="3">
      <w:start w:val="1"/>
      <w:numFmt w:val="decimal"/>
      <w:isLgl w:val="false"/>
      <w:suff w:val="tab"/>
      <w:lvlText w:val="%1-%2.%3.%4"/>
      <w:lvlJc w:val="left"/>
      <w:pPr>
        <w:ind w:left="15750" w:hanging="1260"/>
      </w:pPr>
      <w:rPr>
        <w:i/>
      </w:rPr>
    </w:lvl>
    <w:lvl w:ilvl="4">
      <w:start w:val="1"/>
      <w:numFmt w:val="decimal"/>
      <w:isLgl w:val="false"/>
      <w:suff w:val="tab"/>
      <w:lvlText w:val="%1-%2.%3.%4.%5"/>
      <w:lvlJc w:val="left"/>
      <w:pPr>
        <w:ind w:left="20580" w:hanging="1260"/>
      </w:pPr>
      <w:rPr>
        <w:i/>
      </w:rPr>
    </w:lvl>
    <w:lvl w:ilvl="5">
      <w:start w:val="1"/>
      <w:numFmt w:val="decimal"/>
      <w:isLgl w:val="false"/>
      <w:suff w:val="tab"/>
      <w:lvlText w:val="%1-%2.%3.%4.%5.%6"/>
      <w:lvlJc w:val="left"/>
      <w:pPr>
        <w:ind w:left="25590" w:hanging="1440"/>
      </w:pPr>
      <w:rPr>
        <w:i/>
      </w:rPr>
    </w:lvl>
    <w:lvl w:ilvl="6">
      <w:start w:val="1"/>
      <w:numFmt w:val="decimal"/>
      <w:isLgl w:val="false"/>
      <w:suff w:val="tab"/>
      <w:lvlText w:val="%1-%2.%3.%4.%5.%6.%7"/>
      <w:lvlJc w:val="left"/>
      <w:pPr>
        <w:ind w:left="30420" w:hanging="1440"/>
      </w:pPr>
      <w:rPr>
        <w:i/>
      </w:r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9926" w:hanging="1800"/>
      </w:pPr>
      <w:rPr>
        <w:i/>
      </w:r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24736" w:hanging="2160"/>
      </w:pPr>
      <w:rPr>
        <w:i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5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6"/>
      <w:numFmt w:val="bullet"/>
      <w:isLgl w:val="false"/>
      <w:suff w:val="tab"/>
      <w:lvlText w:val="-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4" w:hanging="360"/>
        <w:tabs>
          <w:tab w:val="num" w:pos="76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5" w:default="1">
    <w:name w:val="Normal"/>
    <w:qFormat/>
  </w:style>
  <w:style w:type="paragraph" w:styleId="746">
    <w:name w:val="Heading 1"/>
    <w:basedOn w:val="745"/>
    <w:next w:val="745"/>
    <w:link w:val="960"/>
    <w:rPr>
      <w:b/>
      <w:sz w:val="28"/>
    </w:rPr>
    <w:pPr>
      <w:jc w:val="center"/>
      <w:keepNext/>
      <w:outlineLvl w:val="0"/>
    </w:pPr>
  </w:style>
  <w:style w:type="paragraph" w:styleId="747">
    <w:name w:val="Heading 2"/>
    <w:basedOn w:val="745"/>
    <w:next w:val="745"/>
    <w:link w:val="961"/>
    <w:rPr>
      <w:sz w:val="24"/>
    </w:rPr>
    <w:pPr>
      <w:jc w:val="both"/>
      <w:keepNext/>
      <w:outlineLvl w:val="1"/>
    </w:pPr>
  </w:style>
  <w:style w:type="paragraph" w:styleId="748">
    <w:name w:val="Heading 3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9">
    <w:name w:val="Heading 4"/>
    <w:link w:val="7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0">
    <w:name w:val="Heading 5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1">
    <w:name w:val="Heading 6"/>
    <w:link w:val="7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2">
    <w:name w:val="Heading 7"/>
    <w:link w:val="7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3">
    <w:name w:val="Heading 8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4">
    <w:name w:val="Heading 9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Heading 3 Char"/>
    <w:basedOn w:val="755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Heading 4 Char"/>
    <w:basedOn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Heading 5 Char"/>
    <w:basedOn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Heading 6 Char"/>
    <w:basedOn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Heading 7 Char"/>
    <w:basedOn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Heading 8 Char"/>
    <w:basedOn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Heading 9 Char"/>
    <w:basedOn w:val="755"/>
    <w:uiPriority w:val="9"/>
    <w:rPr>
      <w:rFonts w:ascii="Arial" w:hAnsi="Arial" w:cs="Arial" w:eastAsia="Arial"/>
      <w:i/>
      <w:iCs/>
      <w:sz w:val="21"/>
      <w:szCs w:val="21"/>
    </w:rPr>
  </w:style>
  <w:style w:type="character" w:styleId="765" w:customStyle="1">
    <w:name w:val="Title Char"/>
    <w:basedOn w:val="755"/>
    <w:uiPriority w:val="10"/>
    <w:rPr>
      <w:sz w:val="48"/>
      <w:szCs w:val="48"/>
    </w:rPr>
  </w:style>
  <w:style w:type="character" w:styleId="766" w:customStyle="1">
    <w:name w:val="Subtitle Char"/>
    <w:basedOn w:val="755"/>
    <w:uiPriority w:val="11"/>
    <w:rPr>
      <w:sz w:val="24"/>
      <w:szCs w:val="24"/>
    </w:rPr>
  </w:style>
  <w:style w:type="character" w:styleId="767" w:customStyle="1">
    <w:name w:val="Quote Char"/>
    <w:uiPriority w:val="29"/>
    <w:rPr>
      <w:i/>
    </w:rPr>
  </w:style>
  <w:style w:type="character" w:styleId="768" w:customStyle="1">
    <w:name w:val="Intense Quote Char"/>
    <w:uiPriority w:val="30"/>
    <w:rPr>
      <w:i/>
    </w:rPr>
  </w:style>
  <w:style w:type="character" w:styleId="769" w:customStyle="1">
    <w:name w:val="Caption Char"/>
    <w:uiPriority w:val="99"/>
  </w:style>
  <w:style w:type="character" w:styleId="770" w:customStyle="1">
    <w:name w:val="Footnote Text Char"/>
    <w:uiPriority w:val="99"/>
    <w:rPr>
      <w:sz w:val="18"/>
    </w:rPr>
  </w:style>
  <w:style w:type="character" w:styleId="771" w:customStyle="1">
    <w:name w:val="Endnote Text Char"/>
    <w:uiPriority w:val="99"/>
    <w:rPr>
      <w:sz w:val="20"/>
    </w:rPr>
  </w:style>
  <w:style w:type="character" w:styleId="77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73" w:customStyle="1">
    <w:name w:val="Heading 2 Char"/>
    <w:uiPriority w:val="9"/>
    <w:rPr>
      <w:rFonts w:ascii="Arial" w:hAnsi="Arial" w:cs="Arial" w:eastAsia="Arial"/>
      <w:sz w:val="34"/>
    </w:rPr>
  </w:style>
  <w:style w:type="character" w:styleId="774" w:customStyle="1">
    <w:name w:val="Заголовок 3 Знак"/>
    <w:link w:val="748"/>
    <w:uiPriority w:val="9"/>
    <w:rPr>
      <w:rFonts w:ascii="Arial" w:hAnsi="Arial" w:cs="Arial" w:eastAsia="Arial"/>
      <w:sz w:val="30"/>
      <w:szCs w:val="30"/>
    </w:rPr>
  </w:style>
  <w:style w:type="character" w:styleId="775" w:customStyle="1">
    <w:name w:val="Заголовок 4 Знак"/>
    <w:link w:val="749"/>
    <w:uiPriority w:val="9"/>
    <w:rPr>
      <w:rFonts w:ascii="Arial" w:hAnsi="Arial" w:cs="Arial" w:eastAsia="Arial"/>
      <w:b/>
      <w:bCs/>
      <w:sz w:val="26"/>
      <w:szCs w:val="26"/>
    </w:rPr>
  </w:style>
  <w:style w:type="character" w:styleId="776" w:customStyle="1">
    <w:name w:val="Заголовок 5 Знак"/>
    <w:link w:val="750"/>
    <w:uiPriority w:val="9"/>
    <w:rPr>
      <w:rFonts w:ascii="Arial" w:hAnsi="Arial" w:cs="Arial" w:eastAsia="Arial"/>
      <w:b/>
      <w:bCs/>
      <w:sz w:val="24"/>
      <w:szCs w:val="24"/>
    </w:rPr>
  </w:style>
  <w:style w:type="character" w:styleId="777" w:customStyle="1">
    <w:name w:val="Заголовок 6 Знак"/>
    <w:link w:val="751"/>
    <w:uiPriority w:val="9"/>
    <w:rPr>
      <w:rFonts w:ascii="Arial" w:hAnsi="Arial" w:cs="Arial" w:eastAsia="Arial"/>
      <w:b/>
      <w:bCs/>
      <w:sz w:val="22"/>
      <w:szCs w:val="22"/>
    </w:rPr>
  </w:style>
  <w:style w:type="character" w:styleId="778" w:customStyle="1">
    <w:name w:val="Заголовок 7 Знак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9" w:customStyle="1">
    <w:name w:val="Заголовок 8 Знак"/>
    <w:link w:val="753"/>
    <w:uiPriority w:val="9"/>
    <w:rPr>
      <w:rFonts w:ascii="Arial" w:hAnsi="Arial" w:cs="Arial" w:eastAsia="Arial"/>
      <w:i/>
      <w:iCs/>
      <w:sz w:val="22"/>
      <w:szCs w:val="22"/>
    </w:rPr>
  </w:style>
  <w:style w:type="character" w:styleId="780" w:customStyle="1">
    <w:name w:val="Заголовок 9 Знак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List Paragraph"/>
    <w:qFormat/>
    <w:uiPriority w:val="34"/>
    <w:pPr>
      <w:contextualSpacing w:val="true"/>
      <w:ind w:left="720"/>
    </w:pPr>
  </w:style>
  <w:style w:type="paragraph" w:styleId="782">
    <w:name w:val="No Spacing"/>
    <w:qFormat/>
    <w:uiPriority w:val="1"/>
  </w:style>
  <w:style w:type="paragraph" w:styleId="783">
    <w:name w:val="Title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 w:customStyle="1">
    <w:name w:val="Назва Знак"/>
    <w:link w:val="783"/>
    <w:uiPriority w:val="10"/>
    <w:rPr>
      <w:sz w:val="48"/>
      <w:szCs w:val="48"/>
    </w:rPr>
  </w:style>
  <w:style w:type="paragraph" w:styleId="785">
    <w:name w:val="Subtitle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 w:customStyle="1">
    <w:name w:val="Підзаголовок Знак"/>
    <w:link w:val="785"/>
    <w:uiPriority w:val="11"/>
    <w:rPr>
      <w:sz w:val="24"/>
      <w:szCs w:val="24"/>
    </w:rPr>
  </w:style>
  <w:style w:type="paragraph" w:styleId="787">
    <w:name w:val="Quote"/>
    <w:link w:val="788"/>
    <w:qFormat/>
    <w:uiPriority w:val="29"/>
    <w:rPr>
      <w:i/>
    </w:rPr>
    <w:pPr>
      <w:ind w:left="720" w:right="720"/>
    </w:pPr>
  </w:style>
  <w:style w:type="character" w:styleId="788" w:customStyle="1">
    <w:name w:val="Цитата Знак"/>
    <w:link w:val="787"/>
    <w:uiPriority w:val="29"/>
    <w:rPr>
      <w:i/>
    </w:rPr>
  </w:style>
  <w:style w:type="paragraph" w:styleId="789">
    <w:name w:val="Intense Quote"/>
    <w:link w:val="7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 w:customStyle="1">
    <w:name w:val="Насичена цитата Знак"/>
    <w:link w:val="789"/>
    <w:uiPriority w:val="30"/>
    <w:rPr>
      <w:i/>
    </w:rPr>
  </w:style>
  <w:style w:type="paragraph" w:styleId="791">
    <w:name w:val="Header"/>
    <w:basedOn w:val="745"/>
    <w:link w:val="963"/>
    <w:uiPriority w:val="99"/>
    <w:pPr>
      <w:tabs>
        <w:tab w:val="center" w:pos="4677" w:leader="none"/>
        <w:tab w:val="right" w:pos="9355" w:leader="none"/>
      </w:tabs>
    </w:pPr>
  </w:style>
  <w:style w:type="character" w:styleId="792" w:customStyle="1">
    <w:name w:val="Header Char"/>
    <w:uiPriority w:val="99"/>
  </w:style>
  <w:style w:type="paragraph" w:styleId="793">
    <w:name w:val="Footer"/>
    <w:basedOn w:val="745"/>
    <w:link w:val="796"/>
    <w:pPr>
      <w:tabs>
        <w:tab w:val="center" w:pos="4677" w:leader="none"/>
        <w:tab w:val="right" w:pos="9355" w:leader="none"/>
      </w:tabs>
    </w:pPr>
  </w:style>
  <w:style w:type="character" w:styleId="794" w:customStyle="1">
    <w:name w:val="Footer Char"/>
    <w:uiPriority w:val="99"/>
  </w:style>
  <w:style w:type="paragraph" w:styleId="7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6" w:customStyle="1">
    <w:name w:val="Нижній колонтитул Знак"/>
    <w:link w:val="793"/>
    <w:uiPriority w:val="99"/>
  </w:style>
  <w:style w:type="table" w:styleId="797">
    <w:name w:val="Table Grid"/>
    <w:basedOn w:val="756"/>
    <w:tblPr/>
  </w:style>
  <w:style w:type="table" w:styleId="79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2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9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7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3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4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5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6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7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8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9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0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11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2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3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4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5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2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2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link w:val="925"/>
    <w:uiPriority w:val="99"/>
    <w:semiHidden/>
    <w:unhideWhenUsed/>
    <w:rPr>
      <w:sz w:val="18"/>
    </w:rPr>
    <w:pPr>
      <w:spacing w:after="40"/>
    </w:pPr>
  </w:style>
  <w:style w:type="character" w:styleId="925" w:customStyle="1">
    <w:name w:val="Текст виноски Знак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link w:val="928"/>
    <w:uiPriority w:val="99"/>
    <w:semiHidden/>
    <w:unhideWhenUsed/>
  </w:style>
  <w:style w:type="character" w:styleId="928" w:customStyle="1">
    <w:name w:val="Текст кінцевої виноски Знак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uiPriority w:val="39"/>
    <w:unhideWhenUsed/>
    <w:pPr>
      <w:spacing w:after="57"/>
    </w:pPr>
  </w:style>
  <w:style w:type="paragraph" w:styleId="931">
    <w:name w:val="toc 2"/>
    <w:uiPriority w:val="39"/>
    <w:unhideWhenUsed/>
    <w:pPr>
      <w:ind w:left="283"/>
      <w:spacing w:after="57"/>
    </w:pPr>
  </w:style>
  <w:style w:type="paragraph" w:styleId="932">
    <w:name w:val="toc 3"/>
    <w:uiPriority w:val="39"/>
    <w:unhideWhenUsed/>
    <w:pPr>
      <w:ind w:left="567"/>
      <w:spacing w:after="57"/>
    </w:pPr>
  </w:style>
  <w:style w:type="paragraph" w:styleId="933">
    <w:name w:val="toc 4"/>
    <w:uiPriority w:val="39"/>
    <w:unhideWhenUsed/>
    <w:pPr>
      <w:ind w:left="850"/>
      <w:spacing w:after="57"/>
    </w:pPr>
  </w:style>
  <w:style w:type="paragraph" w:styleId="934">
    <w:name w:val="toc 5"/>
    <w:uiPriority w:val="39"/>
    <w:unhideWhenUsed/>
    <w:pPr>
      <w:ind w:left="1134"/>
      <w:spacing w:after="57"/>
    </w:pPr>
  </w:style>
  <w:style w:type="paragraph" w:styleId="935">
    <w:name w:val="toc 6"/>
    <w:uiPriority w:val="39"/>
    <w:unhideWhenUsed/>
    <w:pPr>
      <w:ind w:left="1417"/>
      <w:spacing w:after="57"/>
    </w:pPr>
  </w:style>
  <w:style w:type="paragraph" w:styleId="936">
    <w:name w:val="toc 7"/>
    <w:uiPriority w:val="39"/>
    <w:unhideWhenUsed/>
    <w:pPr>
      <w:ind w:left="1701"/>
      <w:spacing w:after="57"/>
    </w:pPr>
  </w:style>
  <w:style w:type="paragraph" w:styleId="937">
    <w:name w:val="toc 8"/>
    <w:uiPriority w:val="39"/>
    <w:unhideWhenUsed/>
    <w:pPr>
      <w:ind w:left="1984"/>
      <w:spacing w:after="57"/>
    </w:pPr>
  </w:style>
  <w:style w:type="paragraph" w:styleId="938">
    <w:name w:val="toc 9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uiPriority w:val="99"/>
    <w:unhideWhenUsed/>
  </w:style>
  <w:style w:type="character" w:styleId="941" w:customStyle="1">
    <w:name w:val="Шрифт абзацу за замовчуванням;Знак Знак1 Знак"/>
    <w:semiHidden/>
  </w:style>
  <w:style w:type="character" w:styleId="942">
    <w:name w:val="page number"/>
    <w:basedOn w:val="941"/>
  </w:style>
  <w:style w:type="paragraph" w:styleId="943">
    <w:name w:val="Body Text"/>
    <w:basedOn w:val="745"/>
    <w:link w:val="962"/>
    <w:rPr>
      <w:sz w:val="28"/>
    </w:rPr>
    <w:pPr>
      <w:jc w:val="both"/>
    </w:pPr>
  </w:style>
  <w:style w:type="paragraph" w:styleId="944" w:customStyle="1">
    <w:name w:val="Знак Знак1"/>
    <w:basedOn w:val="745"/>
    <w:rPr>
      <w:rFonts w:ascii="Verdana" w:hAnsi="Verdana"/>
      <w:lang w:val="en-US" w:eastAsia="en-US"/>
    </w:rPr>
  </w:style>
  <w:style w:type="paragraph" w:styleId="945">
    <w:name w:val="Body Text Indent 3"/>
    <w:basedOn w:val="745"/>
    <w:rPr>
      <w:sz w:val="16"/>
      <w:szCs w:val="16"/>
    </w:rPr>
    <w:pPr>
      <w:ind w:left="283"/>
      <w:spacing w:after="120"/>
    </w:pPr>
  </w:style>
  <w:style w:type="paragraph" w:styleId="946">
    <w:name w:val="Normal (Web)"/>
    <w:basedOn w:val="745"/>
    <w:uiPriority w:val="99"/>
    <w:rPr>
      <w:sz w:val="24"/>
      <w:szCs w:val="24"/>
    </w:rPr>
    <w:pPr>
      <w:spacing w:after="117" w:before="59"/>
    </w:pPr>
  </w:style>
  <w:style w:type="character" w:styleId="947">
    <w:name w:val="Strong"/>
    <w:rPr>
      <w:b/>
      <w:bCs/>
    </w:rPr>
  </w:style>
  <w:style w:type="paragraph" w:styleId="948">
    <w:name w:val="Body Text Indent 2"/>
    <w:basedOn w:val="745"/>
    <w:pPr>
      <w:ind w:left="283"/>
      <w:spacing w:lineRule="auto" w:line="480" w:after="120"/>
    </w:pPr>
  </w:style>
  <w:style w:type="paragraph" w:styleId="949">
    <w:name w:val="HTML Preformatted"/>
    <w:basedOn w:val="745"/>
    <w:rPr>
      <w:rFonts w:ascii="Courier New" w:hAnsi="Courier New" w:eastAsia="Courier New"/>
      <w:color w:val="000000"/>
      <w:sz w:val="18"/>
      <w:szCs w:val="18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0" w:customStyle="1">
    <w:name w:val="Знак Знак Знак Знак"/>
    <w:basedOn w:val="745"/>
    <w:rPr>
      <w:rFonts w:ascii="Verdana" w:hAnsi="Verdana"/>
      <w:lang w:val="en-US" w:eastAsia="en-US"/>
    </w:rPr>
  </w:style>
  <w:style w:type="character" w:styleId="951" w:customStyle="1">
    <w:name w:val="apple-converted-space"/>
  </w:style>
  <w:style w:type="paragraph" w:styleId="952">
    <w:name w:val="Balloon Text"/>
    <w:basedOn w:val="745"/>
    <w:link w:val="953"/>
    <w:semiHidden/>
    <w:rPr>
      <w:rFonts w:ascii="Tahoma" w:hAnsi="Tahoma"/>
      <w:sz w:val="16"/>
      <w:szCs w:val="16"/>
    </w:rPr>
  </w:style>
  <w:style w:type="character" w:styleId="953" w:customStyle="1">
    <w:name w:val="Текст у виносці Знак"/>
    <w:link w:val="952"/>
    <w:semiHidden/>
    <w:rPr>
      <w:rFonts w:ascii="Tahoma" w:hAnsi="Tahoma"/>
      <w:sz w:val="16"/>
      <w:szCs w:val="16"/>
      <w:lang w:val="ru-RU" w:eastAsia="ru-RU"/>
    </w:rPr>
  </w:style>
  <w:style w:type="paragraph" w:styleId="954" w:customStyle="1">
    <w:name w:val="Основной текст 21"/>
    <w:basedOn w:val="745"/>
    <w:rPr>
      <w:sz w:val="28"/>
      <w:lang w:eastAsia="ar-SA"/>
    </w:rPr>
    <w:pPr>
      <w:jc w:val="both"/>
    </w:pPr>
  </w:style>
  <w:style w:type="paragraph" w:styleId="955" w:customStyle="1">
    <w:name w:val="Нормальний текст"/>
    <w:basedOn w:val="745"/>
    <w:rPr>
      <w:rFonts w:ascii="antiqua" w:hAnsi="antiqua"/>
      <w:sz w:val="26"/>
    </w:rPr>
    <w:pPr>
      <w:ind w:firstLine="567"/>
      <w:spacing w:before="120"/>
    </w:pPr>
  </w:style>
  <w:style w:type="paragraph" w:styleId="956" w:customStyle="1">
    <w:name w:val="Назва документа"/>
    <w:basedOn w:val="745"/>
    <w:next w:val="955"/>
    <w:rPr>
      <w:rFonts w:ascii="antiqua" w:hAnsi="antiqua"/>
      <w:b/>
      <w:sz w:val="26"/>
    </w:rPr>
    <w:pPr>
      <w:jc w:val="center"/>
      <w:keepLines/>
      <w:keepNext/>
      <w:spacing w:after="240" w:before="240"/>
    </w:pPr>
  </w:style>
  <w:style w:type="character" w:styleId="957" w:customStyle="1">
    <w:name w:val="Основной текст_"/>
    <w:link w:val="958"/>
    <w:rPr>
      <w:sz w:val="26"/>
      <w:szCs w:val="26"/>
      <w:shd w:val="clear" w:fill="FFFFFF" w:color="auto"/>
    </w:rPr>
  </w:style>
  <w:style w:type="paragraph" w:styleId="958" w:customStyle="1">
    <w:name w:val="Основной текст4"/>
    <w:basedOn w:val="745"/>
    <w:link w:val="957"/>
    <w:rPr>
      <w:sz w:val="26"/>
      <w:szCs w:val="26"/>
    </w:rPr>
    <w:pPr>
      <w:jc w:val="both"/>
      <w:spacing w:lineRule="exact" w:line="322" w:before="600"/>
      <w:shd w:val="clear" w:fill="FFFFFF" w:color="auto"/>
      <w:widowControl w:val="off"/>
    </w:pPr>
  </w:style>
  <w:style w:type="character" w:styleId="959" w:customStyle="1">
    <w:name w:val="Основной текст1"/>
    <w:rPr>
      <w:color w:val="000000"/>
      <w:spacing w:val="0"/>
      <w:position w:val="0"/>
      <w:sz w:val="26"/>
      <w:szCs w:val="26"/>
      <w:shd w:val="clear" w:fill="FFFFFF" w:color="auto"/>
      <w:lang w:val="uk-UA" w:eastAsia="en-US"/>
    </w:rPr>
  </w:style>
  <w:style w:type="character" w:styleId="960" w:customStyle="1">
    <w:name w:val="Заголовок 1 Знак"/>
    <w:link w:val="746"/>
    <w:rPr>
      <w:b/>
      <w:sz w:val="28"/>
      <w:lang w:val="uk-UA"/>
    </w:rPr>
  </w:style>
  <w:style w:type="character" w:styleId="961" w:customStyle="1">
    <w:name w:val="Заголовок 2 Знак"/>
    <w:link w:val="747"/>
    <w:rPr>
      <w:sz w:val="24"/>
      <w:lang w:val="uk-UA"/>
    </w:rPr>
  </w:style>
  <w:style w:type="character" w:styleId="962" w:customStyle="1">
    <w:name w:val="Основний текст Знак"/>
    <w:link w:val="943"/>
    <w:rPr>
      <w:sz w:val="28"/>
      <w:lang w:val="uk-UA"/>
    </w:rPr>
  </w:style>
  <w:style w:type="character" w:styleId="963" w:customStyle="1">
    <w:name w:val="Верхній колонтитул Знак"/>
    <w:basedOn w:val="941"/>
    <w:link w:val="791"/>
    <w:uiPriority w:val="99"/>
  </w:style>
  <w:style w:type="paragraph" w:styleId="964" w:customStyle="1">
    <w:name w:val="docdata"/>
    <w:basedOn w:val="745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965" w:customStyle="1">
    <w:name w:val="1547"/>
    <w:basedOn w:val="75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0A2183-62F9-4D0F-A6EC-929AD1B1136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CC14870-8085-4A4F-9EE3-DA8FEA0C80E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13</cp:revision>
  <dcterms:created xsi:type="dcterms:W3CDTF">2021-10-28T09:35:00Z</dcterms:created>
  <dcterms:modified xsi:type="dcterms:W3CDTF">2021-11-27T07:56:46Z</dcterms:modified>
</cp:coreProperties>
</file>