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ind w:left="5670"/>
        <w:jc w:val="both"/>
        <w:spacing w:after="0" w:afterAutospacing="0" w:before="0" w:beforeAutospacing="0"/>
        <w:rPr>
          <w:color w:val="000000"/>
          <w:sz w:val="28"/>
          <w:szCs w:val="28"/>
          <w:lang w:val="en-US"/>
        </w:rPr>
      </w:pPr>
      <w:r/>
      <w:bookmarkStart w:id="0" w:name="_Hlk71637167"/>
      <w:r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  <w:lang w:val="en-US"/>
        </w:rPr>
        <w:t xml:space="preserve">2</w:t>
      </w:r>
      <w:r/>
    </w:p>
    <w:p>
      <w:pPr>
        <w:pStyle w:val="873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</w:r>
      <w:r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  <w:lang w:val="en-US"/>
        </w:rPr>
        <w:t xml:space="preserve">14</w:t>
      </w:r>
      <w:r>
        <w:rPr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pStyle w:val="873"/>
        <w:ind w:left="5670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en-US"/>
        </w:rPr>
        <w:t xml:space="preserve">25 листопада </w:t>
      </w:r>
      <w:r>
        <w:rPr>
          <w:color w:val="000000"/>
          <w:sz w:val="28"/>
          <w:szCs w:val="28"/>
        </w:rPr>
        <w:t xml:space="preserve">2021 №</w:t>
      </w:r>
      <w:bookmarkEnd w:id="0"/>
      <w:r>
        <w:t xml:space="preserve"> 676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 </w:t>
      </w:r>
      <w:r/>
    </w:p>
    <w:tbl>
      <w:tblPr>
        <w:tblStyle w:val="867"/>
        <w:tblW w:w="957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3510"/>
        <w:gridCol w:w="3651"/>
      </w:tblGrid>
      <w:tr>
        <w:trPr>
          <w:tblHeader/>
        </w:trPr>
        <w:tc>
          <w:tcPr>
            <w:tcW w:w="567" w:type="dxa"/>
            <w:textDirection w:val="lrTb"/>
            <w:noWrap w:val="false"/>
          </w:tcPr>
          <w:p>
            <w:pPr>
              <w:ind w:left="-21"/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bookmarkStart w:id="1" w:name="_Hlk86133283"/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Номер послуги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-103"/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Ідентифікатор послуги відповідно до Гіду з державних послуг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Перелік адміністративних послуг через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віддалені робочі місця адміністраторів відділу «Ц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» Менської міської ради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4"/>
              </w:rPr>
              <w:t xml:space="preserve">Правові підстави для надання адміністративної послуги</w:t>
            </w:r>
            <w:bookmarkEnd w:id="1"/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3 Реєстрація місця проживання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/>
            <w:bookmarkStart w:id="2" w:name="_Hlk86215909"/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00034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місця проживання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свободу пересування та вільний вибір місця проживання в Україні"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01217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місця проживання дитини до 14 років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00037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Зняття з реєстрації місця проживання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00038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довідки про реєстрацію місця проживання або місця перебування особи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00039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довідки про зняття з реєстрації місця проживання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00040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місця перебування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bookmarkEnd w:id="2"/>
            <w:r/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4 Паспортні послуги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00026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Вклеювання до паспорта громадянина України (зразка 1994 року) фотокартки при досягненні 25- і 45-річного віку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Постанова Верховної Ради України від 26 червня 1992 р. N 2503-XII "Про затвердження положень про паспорт громадянина України та про паспорт громадянина України для виїзду за кордон"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/>
            <w:bookmarkStart w:id="3" w:name="_Hlk86215933"/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00029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Внесення 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Закон України "Про свободу пересування та вільний вибір місця проживання в Україні"</w:t>
            </w:r>
            <w:bookmarkEnd w:id="3"/>
            <w:r/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7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Адміністративні послуги соціального характеру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00155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"Про житлово-комунальні послуги"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00157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пільги на придбання палива, у тому числі рідкого, </w:t>
            </w: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скрапленого балонного газу для побутових потреб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"Про статус ветеранів війни, гарантії їх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соціального захисту", "Про жертви нацистських переслідувань", "Про статус і соціальний захист громадян, які постраждали внаслідок Чорнобильської катастрофи", "Про охорону дитинства"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01974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пільги на оплату житла, комунальних послуг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"Про статус і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ціальний захист громадян, які постраждали внаслідок Чорнобильської катастрофи", "Про соціальний і правовий захист військовослужбовців та членів їх сімей", "Про статус ветеранів війни, гарантії їх соціального захисту", "Про жертви нацистських переслідувань"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Сімейний кодекс України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00135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одноразової винагороди жінкам, яким присвоєно почесне звання України „Мати-героїня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"Про державні нагороди України"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00141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для отримання пільг особам з інвалідністю, які не мають права на пенсію чи соціальну допомогу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основи соціальної захищеності осіб з інвалідністю в Україні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00133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державної соціальної допомоги малозабезпеченим сім’ям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соціальну допомогу малозабезпеченим сім’ям”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00143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державної допомоги у зв’язку з вагітністю та пологами жінкам, які не застраховані в системі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загальнообов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язкового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 державного соціального страхування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7.09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00144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державної допомоги при народженні дитини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01227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одноразової натуральної допомоги „пакунок малюка”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00147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Призначення державної допомоги при усиновленні дитини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00149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допомоги на дітей, над якими встановлено опіку чи піклування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00150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допомоги на дітей одиноким матерям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00959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допомоги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одному з батьків,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усиновлювачам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опікунам, піклувальникам, одному з прийомних батьків, батькам-вихователям, які доглядають за хворою дитиною, якій не встановлено інвалідність 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державну допомогу сім’ям з дітьми”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00960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допомоги на дітей, які виховуються у багатодітних сім’ях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охорону дитинства”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соціальної допомоги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особам з інвалідністю з дитинства або дітям з інвалідністю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надбавки на догляд за особами з інвалідністю з дитинства та дітьми з інвалідністю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00096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соціальної допомоги особам, які не мають права на пенсію, та особам з інвалідністю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України „Про державну соціальну допомогу особам, які не мають права на пенсію, та особам з інвалідністю”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00099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державної соціальної допомоги на догляд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України „Про державну соціальну допомогу особам, які не мають права на пенсію, та особам з інвалідністю”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7.19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00101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соціальні послуги”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02025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Закон України „Про загальнообов’язкове державне пенсійне страхування” від 09.07.2003 № 1058-IV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Постанова Кабінету Міністрів України від 27.12.2017 № 1098 „Про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00103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грошової допомоги особі, яка проживає разом з особою з інвалідністю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психіатричну допомогу”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00112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70"/>
                <w:rFonts w:ascii="Times New Roman" w:hAnsi="Times New Roman" w:cs="Times New Roman"/>
                <w:sz w:val="24"/>
                <w:szCs w:val="24"/>
              </w:rPr>
              <w:t xml:space="preserve">Призначення одноразової грошової / матеріальної допомоги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особам з інвалідністю та дітям з інвалідністю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основи соціальної захищеності осіб з інвалідністю в Україні”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00172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01191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одноразової компенсації дружинам (чоловікам), якщо та (той) не одружилися вдруге, померлих гро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00171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00232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компенсацій та допомоги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7.27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00170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7.28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01255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Закон України „Про статус ветеранів війни, гарантії їх соціального захисту”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7.29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Призначення грошової компенсації особам з інвалідністю замість санаторно-курортної путівки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спинального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реабілітацію осіб з інвалідністю в Україні"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Призначення грошової компенсації вартості самостійного санаторно-курортного лікування осіб з інвалідністю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/>
            <w:hyperlink r:id="rId14" w:tooltip="http://zakon3.rada.gov.ua/laws/show/796-12" w:history="1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Закон України „Про статус і соціальний захист громадян, які постраждали внаслідок Чорнобильської катастрофи” </w:t>
              </w:r>
            </w:hyperlink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00225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Призначення грошової компенсації особам з інвалідністю на бензин, ремонт і технічне обслуговування автомобілів та на транспортне обслуговування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Закони України ,,Про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01255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статус ветеранів війни, гарантії соціального захисту”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7.35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00168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fill="FFFFFF" w:color="auto"/>
              </w:rPr>
              <w:t xml:space="preserve">Закон України ,,Про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00117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представників дітей з інвалідністю автомобілем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Закони України ,,Про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00119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Видача направлення на забезпечення технічними та іншими засобами реабілітації осіб з інвалідністю та дітей з інвалідністю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„Про реабілітацію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00121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Установлення статусу, видача посвідчень батькам багатодітної сім’ї та дитини з багатодітної сім’ї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„Про охорону дитинства”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7.39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00230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00242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Видача посвідчень особам з інвалідністю та особам з інвалідністю з дитинства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Закони України „Про державну соціальну допомогу особам з інвалідністю з дитинства та дітям з інвалідністю”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00751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Установлення статусу, видача посвідчень ветеранам праці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fill="FFFFFF" w:color="auto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01197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Установлення статусу, видача посвідчень жертвам нацистських переслідувань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жертви нацистських переслідувань”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Взяття на облік для забезпечення санаторно-курортним лікуванням (путівками) осіб з інвалідністю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"Про реабілітацію осіб з інвалідністю в Україні"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00228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статус ветеранів війни, гарантії соціального захисту”, „Про жертви нацистських переслідувань”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00229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Style w:val="869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796-ХІІ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00104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Style w:val="869"/>
                <w:rFonts w:ascii="Times New Roman" w:hAnsi="Times New Roman"/>
                <w:bCs/>
                <w:sz w:val="24"/>
                <w:szCs w:val="24"/>
              </w:rPr>
              <w:t xml:space="preserve"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забезпечення прав і свобод внутрішньо переміщених осіб”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.47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01386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Призначення і виплата державної соціальної допомоги на дітей-сиріт та дітей, позбавлених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забезпечення організаційно-правових умов соціального захисту дітей-сиріт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01405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Оплата послуг патронатного вихователя та виплата соціальної допомоги на утримання дитини в сім'ї патронатного вихователя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Сімейний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7.49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00243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Виплата одноразової матеріальної допомоги особам, які постраждали від торгівлі людьми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протидію торгівлі людьми"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50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01194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дубліката посвідчення батьків багатодітної сім'ї та дитини з багатодітної сім'ї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охорону дитинства"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7.5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01196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Продовження строку дії посвідчень батьків багатодітної сім'ї та дитини з багатодітної сім'ї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охорону дитинства"</w:t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/>
            <w:bookmarkStart w:id="4" w:name="_Hlk86069500"/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8. Служба у справах дітей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00122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Цивільний кодекс України; Цивільний процесуальний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01981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00125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00127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00123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щодо відмови від майнових прав підопічного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00126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стосовно укладення договорів щодо іншого цінного майна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00124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опікуну на вчинення правочинів щодо видання письмових зобов'язань від імені підопічного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01980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8.09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00131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посвідчення та (або) державній реєстрації, у тому числі щодо поділу або обміну житлового будинку, квартири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00130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піклувальнику дозволу для надання згоди особі, дієздатність якої обмежена, на вчинення правочинів щодо видання письмових зобов'язань від імені підопічного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00129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01265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психіатричну допомогу"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01262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Надання статусу дитини, яка постраждала внаслідок воєнних дій та збройних конфліктів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охорону дитинства"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01225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встановлення опіки, піклування над дитиною-сиротою або дитиною, позбавленою батьківського піклування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Сімейний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кодекс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02074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надання дозволу на спілкування батьками з дитиною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01755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надання неповнолітнім особам повної цивільної дієздатності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01836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утворення прийомної сім’ї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01837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створення та забезпечення функціонування дитячого будинку сімейного типу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8.19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02040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припинення функціонування прийомної сім’ї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8.20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02041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продовження функціонування прийомної сім’ї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8.21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1224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Прийняття рішення про визначення місця проживання (перебування) дитини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Закон України “Про органи і служби у справах дітей та спеціальні установи для дітей”.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Сімейний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Цивільний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8.22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01754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Прийняття рішення про доцільність цілодобового перебування дитини в закладі, який здійснює інституційний догляд і виховання дітей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Постанова КМУ від 01.06.2020 №586 "Деякі питання захисту дітей в умовах боротьби з наслідками гострої респіраторної хвороби COVID-19, спричиненої коронавірусом SARS-CoV-2"</w:t>
            </w:r>
            <w:bookmarkEnd w:id="4"/>
            <w:r/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9.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Земельні питання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00207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Надання дозволу на розроблення проекту землеустрою щодо відведення земельної ділянки для послідуючого продажу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00199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Надання дозволу на розроблення проекту землеустрою щодо відведення земельної ділянки у користування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00198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Надання згоди на передачу орендованої земельної ділянки в суборенду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оренду землі"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00213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Надання права користування чужою земельною ділянкою для забудови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суперфіцій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01161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Перелік документів дозвільного характеру у сфері господарської діяльності"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00175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Видача рішення</w:t>
            </w:r>
            <w:r>
              <w:rPr>
                <w:rFonts w:ascii="Times New Roman" w:hAnsi="Times New Roman" w:cs="Times New Roman" w:eastAsia="Times New Roman"/>
                <w:strike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00174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Видача рішення про продаж земельних ділянок державної та комунальної власності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Перелік документів дозвільного характеру у сфері господарської діяльності"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00176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Видача дозволу надання дозволу на розроблення проекту землеустрою щодо відведення земельної ділянки у межах безоплатної приватизації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9.09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00217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проекту землеустрою щодо відведення земельної ділянки у разі зміни її цільового призначення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00180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технічної документації з бонітування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грунтів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00179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документації з нормативної грошової оцінки земельної ділянки у межах населених пунктів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00182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проекту землеустрою щодо відведення земельної ділянки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00176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Надання дозволу на розроблення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 землеустрою щодо відведення земельної ділянки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00192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Припинення права оренди земельної ділянки або її частини у разі добровільної відмови орендаря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00202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00203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технічної документації із землеустрою щодо встановлення (відновлення) меж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земельних ділянок в натурі (на місцевості)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01161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Про укладання договору оренди землі на новий строк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оренду землі"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9.19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00204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Внесення змін до договорів оренди землі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оренду землі"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00178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Надання дозволу на виготовлення технічної документації із землеустрою щодо поділ та об’єднання земельних ділянок комунальної власності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00178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Затвердження технічної документації із землеустрою щодо поділ та об’єднання земельних ділянок комунальної власності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00176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Надання дозволу на виготовлення проекту землеустрою щодо відведення земельної ділянки у разі зміни її цільового призначення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01454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Реєстрація пасіки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бджільництво"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01784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у користування водних об'єктів на умовах оренди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оренду землі"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01785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Поновлення договору оренди водних об'єктів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9.26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uk-UA"/>
              </w:rPr>
              <w:t xml:space="preserve">Про внесення змін та доповнень до рішень Менської міської ради з метою врегулювання земельних відносин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ст. ст. 12, 79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 122 Земельного кодексу України, Закон України «Про землеустрій», п.34 ст. 26 Закону України «Про місцеве самоврядування в Україні»</w:t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10. Архітектура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і містобудування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/>
            <w:bookmarkStart w:id="5" w:name="_Hlk86404646"/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00156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Видача будівельного паспорта забудови земельної ділянки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27).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01193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Внесення змін до будівельного паспорта забудови земельної ділянки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27).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01192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Надання дубліката будівельного паспорта забудови земельної ділянки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27).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00158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Надання містобудівних умов та обмежень забудови земельної ділянки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29).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01186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Внесення змін до містобудівних умов та обмежень забудови земельної ділянки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29).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01886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Скасування містобудівних умов та обмежень забудови земельної ділянки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регулювання містобудівної діяльності» (стаття 29).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02057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Погодження місця розташування тимчасової споруди для провадження підприємницької діяльності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«Про регулювання містобудівної діяльності» із змінами , ст.28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00190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Оформлення паспорта прив’язки тимчасової споруди для провадження підприємницької діяльності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«Про регулювання містобудівної діяльності» із змінами , ст.28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10.09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02156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Переоформлення паспорту прив'язки тимчасової споруди для провадження підприємницької діяльності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«Про регулювання містобудівної діяльності» із змінами , ст.28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00183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дозволу на розміщення зовнішньої реклами у межах населеного пункту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рекламу» (стаття 16*).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00186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Продовження строку дії дозволу на розміщення зовнішньої реклами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рекламу» (стаття 16*).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00153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Присвоєння адреси об'єкту будівництва після отримання права на виконання будівельних робіт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00153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Присвоєння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адреси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закінченому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будівництвом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об'єкту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після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прийняття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експлуатацію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)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263)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01952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Присвоєння адреси самочинно збудованому об’єкту нерухомого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майна, на яке визнано право власності за рішенням суду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01240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Зміна адреси об’єкта нерухомого майна (окремої частини об’єкта нерухомого майна) (зміна в адміністративно-територіальному устрої, зміна назви адміністративно-територіальної одиниці, вулиці, іншої назви (вказати), об’єднання вулиць, упорядкування нумерації)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01240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Зміна адреси щодо закінченого будівництвом об’єкта у разі його об’єднання, поділу або виділення частки з об’єкта нерухомого майна (крім квартири, житлового або нежитлового приміщення тощо)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02113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Коригування адреси об’єкту будівництва у зв’язку з коригуванням проектної документації, що впливає на визначення адреси об’єкта нового будівництва (зміна розташування об’єкта, головного входу, зміна кількості об’єктів тощо)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(стаття 30)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регулювання містобудівної діяльності» (стаття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02211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Повідомлення про погодження намірів щодо влаштування засобів безперешкодного доступу осіб з інвалідністю та інших маломобільних груп населення до об’єктів або їх розумного пристосування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Закон України “Про місцеве самоврядування в Україні”, Закон України „Про звернення громадян”, Закон України «Про регулювання містобудівної діяльності».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10.19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01923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Надання викопіювання з генеральних планів, топографо-геодезичних планів населених пунктів територіальної громади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Закони України «Про місцеве самоврядування в Україні»; «Про засади державної регуляторної політики у сфері господарської діяльності»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10.20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01326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Надання витягу з плану зонування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bookmarkEnd w:id="5"/>
            <w:r/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12. ЖКГ і благоустрій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00159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  <w:t xml:space="preserve">Видача ордера на видалення зелених насаджень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благоустрій населених пунктів» від 06.09.2005 р. № 2807-IV (статті 10, 28)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00194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  <w:t xml:space="preserve">Надання дозволу на порушення об’єктів благоустрою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благоустрій населених пунктів» від 06.09.2005 р. (стаття 26-1).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Cs/>
                <w:sz w:val="24"/>
                <w:szCs w:val="24"/>
              </w:rPr>
              <w:t xml:space="preserve">Прийняття рішення про переведення житлового будинку або житлового приміщення у нежитлові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Житловий кодекс Української РСР (статті 7, 8).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Цивільний кодекс України (статті 319, 320, 383).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від 29.11.01 р. № 2866-III «Про об’єднання співвласників багатоквартирного будинку» (стаття 26).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00194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4"/>
                <w:szCs w:val="24"/>
              </w:rPr>
              <w:t xml:space="preserve">Надання дозволу на підключення об’єктів до централізованої системи водопостачання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00257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Видача свідоцтва про право власності на житло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Житловий кодекс Української РСР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«Про приватизацію державного житлового фонду», «Про забезпечення реалізації житлових прав мешканців гуртожитків», «Про внесення змін до деяких законодавчих актів України щодо забезпечення реалізації житлових прав мешканців гуртожитків»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01246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Видача довідки про перебування на квартирному обліку за місцем вимоги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Житловий кодекс Української РСР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Правила обліку громадян, як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і потребують поліпшення житлових умов, і надання їм 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грудня  1984 року № 470 (із змінами та доповненнями)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00036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Взяття на квартирний облік громадян, які потребують поліпшення житлових умов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Житловий кодекс Української РСР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Правила обліку громадян, які потребують поліпшення житлових умов, і надання їм Постанова Ради Міністрів Української РСР від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4 лютого 1988 р. №37 «Про службові жилі приміщення» 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грудня  1984 року № 470 (із змінами та доповненнями)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12.08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  <w:t xml:space="preserve">002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40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Видача ордера на службове жиле приміщення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Житловий кодекс Української РСР , Постанова Ради Міністрів Української РСР від 4 лютого 1988 р. №37 «Про службові жилі приміщення»</w:t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/>
            <w:bookmarkStart w:id="6" w:name="_Hlk86236892"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15. Послуги місцевого значення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/>
            <w:bookmarkStart w:id="7" w:name="_Hlk86216031"/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00201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про зареєстрованих у житловому приміщенні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00201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Verdan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Verdana"/>
                <w:bCs/>
                <w:sz w:val="24"/>
                <w:szCs w:val="24"/>
              </w:rPr>
              <w:t xml:space="preserve">Видача витягу з реєстру територіальної громади про зареєстрованих у житловому приміщенні/будинку осіб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«Про свободу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пересування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вільний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вибір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11.12.2003 № 1382-ІV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місцеве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самоврядування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21.05.1997 № 280/97-ВР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01213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Виписка із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погосподарської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книги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Україні»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«Інструкція з ведення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погосподарського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обліку в сільських, селищних, міських радах»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00244</w:t>
            </w:r>
            <w:r/>
          </w:p>
        </w:tc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Довідка про наявність у фізичної особи земельних ділянок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Податковий кодекс,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Наказ ЦОВВ від 17.01.2014 №32 "Про затвердження Порядку видачі довідки про наявність у фізичної 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земельних ділянок та її форми"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01297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Видача довідки-характеристики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Україні»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02022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Видача довідки про членство в особистому селянському господарстві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Україні» Закон України "Про особисте селянське господарство"</w:t>
            </w:r>
            <w:bookmarkEnd w:id="7"/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00139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Прийняття рішення щодо надання соціальних послуг комунальною установою „Менський міський центр соціальних служб” Менської міської ради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Закони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України„Про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 соціальні послуги”; „Про місцеве самоврядування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00139</w:t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Прийняття рішення щодо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надання соціальних послуг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комунальною установою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«Територіальний центр соціального обслуговування (надання соціальних послуг)»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Менської міської ради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Закони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України„Про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uk-UA"/>
              </w:rPr>
              <w:t xml:space="preserve"> соціальні послуги”; „Про місцеве самоврядування в Україні”</w:t>
            </w:r>
            <w:bookmarkEnd w:id="6"/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15.09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Надання одноразової грошової матеріальної допомоги жителям </w:t>
            </w:r>
            <w:r/>
          </w:p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Менської територіальної громади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Надання пільг хворим з хронічною нирковою недостатністю, що отримують програмний гемодіаліз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Бюджетний кодекс України</w:t>
            </w:r>
            <w:r/>
          </w:p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України:</w:t>
            </w:r>
            <w:r/>
          </w:p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“Про місцеве самоврядування в Україні”;</w:t>
            </w:r>
            <w:r/>
          </w:p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“Про основи соціальної захищеності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Надання матеріальної допомоги учасникам АТО/ООС та членам їх сімей, сім’ям загиблих учасників АТО/ООС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Надання пільг на житлово-комунальні послуги, тверде паливо та скраплений газ особам з інвалідністю по зору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ІІ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гр., сім’ям загиблих воїнів-інтернаціоналістів та сім’ям загиблих(померлих) учасників антитерористичної операції, операції об’єднаних сил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Бюджетний кодекс України</w:t>
            </w:r>
            <w:r/>
          </w:p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України:</w:t>
            </w:r>
            <w:r/>
          </w:p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“Про місцеве самоврядування в Україні”;</w:t>
            </w:r>
            <w:r/>
          </w:p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“Про статус ветеранів війни, гарантії їх соціального захисту”;</w:t>
            </w:r>
            <w:r/>
          </w:p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“Про основи соціальної захищеності осіб з інвалідністю в Україні”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Надання одноразової грошової допомоги при народженні дитини жителям Менської міської територіальної громади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України», Бюджетний кодекс України.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66"/>
              <w:numPr>
                <w:ilvl w:val="0"/>
                <w:numId w:val="2"/>
              </w:numPr>
              <w:ind w:left="0" w:firstLine="0"/>
              <w:jc w:val="both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15.13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W w:w="3510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Надання матеріальної допомоги на поховання деяких категорій громадян Менської міської територіальної громади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ind w:lef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України», Закон України «Про поховання та похоронну справу»</w:t>
            </w:r>
            <w:r/>
          </w:p>
        </w:tc>
      </w:tr>
    </w:tbl>
    <w:p>
      <w:pPr>
        <w:ind w:left="-567" w:right="0" w:firstLine="0"/>
        <w:spacing w:lineRule="auto" w:line="240" w:after="0" w:afterAutospacing="0" w:before="0" w:beforeAutospacing="0"/>
        <w:tabs>
          <w:tab w:val="left" w:pos="6661" w:leader="none"/>
        </w:tabs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left="-567" w:right="0" w:firstLine="0"/>
        <w:spacing w:lineRule="auto" w:line="240" w:after="0" w:afterAutospacing="0" w:before="0" w:beforeAutospacing="0"/>
        <w:tabs>
          <w:tab w:val="left" w:pos="6661" w:leader="none"/>
        </w:tabs>
        <w:rPr>
          <w:rFonts w:ascii="Times New Roman" w:hAnsi="Times New Roman" w:cs="Times New Roman" w:eastAsia="Times New Roman"/>
          <w:sz w:val="28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left="-567" w:right="0" w:firstLine="0"/>
        <w:spacing w:lineRule="auto" w:line="240" w:after="0" w:afterAutospacing="0" w:before="0" w:beforeAutospacing="0"/>
        <w:tabs>
          <w:tab w:val="left" w:pos="6661" w:leader="none"/>
        </w:tabs>
        <w:rPr>
          <w:rFonts w:ascii="Times New Roman" w:hAnsi="Times New Roman" w:cs="Times New Roman" w:eastAsia="Times New Roman"/>
          <w:sz w:val="28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left="0" w:right="0" w:firstLine="0"/>
        <w:spacing w:lineRule="auto" w:line="240" w:after="0" w:afterAutospacing="0" w:before="0" w:beforeAutospacing="0"/>
        <w:tabs>
          <w:tab w:val="left" w:pos="6661" w:leader="none"/>
        </w:tabs>
        <w:rPr>
          <w:rFonts w:ascii="Times New Roman" w:hAnsi="Times New Roman" w:cs="Times New Roman" w:eastAsia="Times New Roman"/>
          <w:sz w:val="28"/>
          <w:highlight w:val="non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Начальник </w:t>
      </w:r>
      <w:r>
        <w:rPr>
          <w:rFonts w:ascii="Times New Roman" w:hAnsi="Times New Roman" w:cs="Times New Roman" w:eastAsia="Times New Roman"/>
          <w:sz w:val="28"/>
        </w:rPr>
        <w:t xml:space="preserve">відді</w:t>
      </w:r>
      <w:r>
        <w:rPr>
          <w:rFonts w:ascii="Times New Roman" w:hAnsi="Times New Roman" w:cs="Times New Roman" w:eastAsia="Times New Roman"/>
          <w:sz w:val="28"/>
        </w:rPr>
        <w:t xml:space="preserve">лу “Центр надання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6661" w:leader="none"/>
        </w:tabs>
        <w:rPr>
          <w:rFonts w:ascii="Times New Roman" w:hAnsi="Times New Roman" w:cs="Times New Roman" w:eastAsia="Times New Roman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адміністративних </w:t>
      </w:r>
      <w:r>
        <w:rPr>
          <w:rFonts w:ascii="Times New Roman" w:hAnsi="Times New Roman" w:cs="Times New Roman" w:eastAsia="Times New Roman"/>
          <w:sz w:val="28"/>
        </w:rPr>
        <w:t xml:space="preserve">послуг” </w:t>
        <w:tab/>
        <w:t xml:space="preserve">Валерій РАЧКОВ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2"/>
    <w:next w:val="862"/>
    <w:link w:val="6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8">
    <w:name w:val="Heading 1 Char"/>
    <w:basedOn w:val="863"/>
    <w:link w:val="687"/>
    <w:uiPriority w:val="9"/>
    <w:rPr>
      <w:rFonts w:ascii="Arial" w:hAnsi="Arial" w:cs="Arial" w:eastAsia="Arial"/>
      <w:sz w:val="40"/>
      <w:szCs w:val="40"/>
    </w:rPr>
  </w:style>
  <w:style w:type="paragraph" w:styleId="689">
    <w:name w:val="Heading 2"/>
    <w:basedOn w:val="862"/>
    <w:next w:val="862"/>
    <w:link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0">
    <w:name w:val="Heading 2 Char"/>
    <w:basedOn w:val="863"/>
    <w:link w:val="689"/>
    <w:uiPriority w:val="9"/>
    <w:rPr>
      <w:rFonts w:ascii="Arial" w:hAnsi="Arial" w:cs="Arial" w:eastAsia="Arial"/>
      <w:sz w:val="34"/>
    </w:rPr>
  </w:style>
  <w:style w:type="paragraph" w:styleId="691">
    <w:name w:val="Heading 3"/>
    <w:basedOn w:val="862"/>
    <w:next w:val="862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2">
    <w:name w:val="Heading 3 Char"/>
    <w:basedOn w:val="863"/>
    <w:link w:val="691"/>
    <w:uiPriority w:val="9"/>
    <w:rPr>
      <w:rFonts w:ascii="Arial" w:hAnsi="Arial" w:cs="Arial" w:eastAsia="Arial"/>
      <w:sz w:val="30"/>
      <w:szCs w:val="30"/>
    </w:rPr>
  </w:style>
  <w:style w:type="paragraph" w:styleId="693">
    <w:name w:val="Heading 4"/>
    <w:basedOn w:val="862"/>
    <w:next w:val="862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3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2"/>
    <w:next w:val="862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3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2"/>
    <w:next w:val="862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3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2"/>
    <w:next w:val="862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3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2"/>
    <w:next w:val="862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2"/>
    <w:next w:val="862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3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No Spacing"/>
    <w:qFormat/>
    <w:uiPriority w:val="1"/>
    <w:pPr>
      <w:spacing w:lineRule="auto" w:line="240" w:after="0" w:before="0"/>
    </w:pPr>
  </w:style>
  <w:style w:type="paragraph" w:styleId="706">
    <w:name w:val="Title"/>
    <w:basedOn w:val="862"/>
    <w:next w:val="862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>
    <w:name w:val="Title Char"/>
    <w:basedOn w:val="863"/>
    <w:link w:val="706"/>
    <w:uiPriority w:val="10"/>
    <w:rPr>
      <w:sz w:val="48"/>
      <w:szCs w:val="48"/>
    </w:rPr>
  </w:style>
  <w:style w:type="paragraph" w:styleId="708">
    <w:name w:val="Subtitle"/>
    <w:basedOn w:val="862"/>
    <w:next w:val="862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>
    <w:name w:val="Subtitle Char"/>
    <w:basedOn w:val="863"/>
    <w:link w:val="708"/>
    <w:uiPriority w:val="11"/>
    <w:rPr>
      <w:sz w:val="24"/>
      <w:szCs w:val="24"/>
    </w:rPr>
  </w:style>
  <w:style w:type="paragraph" w:styleId="710">
    <w:name w:val="Quote"/>
    <w:basedOn w:val="862"/>
    <w:next w:val="862"/>
    <w:link w:val="711"/>
    <w:qFormat/>
    <w:uiPriority w:val="29"/>
    <w:rPr>
      <w:i/>
    </w:rPr>
    <w:pPr>
      <w:ind w:left="720" w:right="720"/>
    </w:p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2"/>
    <w:next w:val="862"/>
    <w:link w:val="71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>
    <w:name w:val="Intense Quote Char"/>
    <w:link w:val="712"/>
    <w:uiPriority w:val="30"/>
    <w:rPr>
      <w:i/>
    </w:rPr>
  </w:style>
  <w:style w:type="paragraph" w:styleId="714">
    <w:name w:val="Header"/>
    <w:basedOn w:val="862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Header Char"/>
    <w:basedOn w:val="863"/>
    <w:link w:val="714"/>
    <w:uiPriority w:val="99"/>
  </w:style>
  <w:style w:type="paragraph" w:styleId="716">
    <w:name w:val="Footer"/>
    <w:basedOn w:val="862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Footer Char"/>
    <w:basedOn w:val="863"/>
    <w:link w:val="716"/>
    <w:uiPriority w:val="99"/>
  </w:style>
  <w:style w:type="paragraph" w:styleId="718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>
    <w:name w:val="Caption Char"/>
    <w:basedOn w:val="718"/>
    <w:link w:val="716"/>
    <w:uiPriority w:val="99"/>
  </w:style>
  <w:style w:type="table" w:styleId="720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9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0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1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2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3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4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>
    <w:name w:val="List Paragraph"/>
    <w:basedOn w:val="862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67">
    <w:name w:val="Table Grid"/>
    <w:basedOn w:val="864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68">
    <w:name w:val="Hyperlink"/>
    <w:unhideWhenUsed/>
    <w:rPr>
      <w:color w:val="0563C1" w:themeColor="hyperlink"/>
      <w:u w:val="single"/>
    </w:rPr>
  </w:style>
  <w:style w:type="character" w:styleId="869" w:customStyle="1">
    <w:name w:val="rvts23"/>
    <w:basedOn w:val="863"/>
    <w:rPr>
      <w:rFonts w:cs="Times New Roman"/>
    </w:rPr>
  </w:style>
  <w:style w:type="character" w:styleId="870" w:customStyle="1">
    <w:name w:val="rvts0"/>
    <w:basedOn w:val="863"/>
  </w:style>
  <w:style w:type="character" w:styleId="871">
    <w:name w:val="Strong"/>
    <w:qFormat/>
    <w:rPr>
      <w:rFonts w:cs="Times New Roman"/>
      <w:b/>
      <w:bCs/>
    </w:rPr>
  </w:style>
  <w:style w:type="character" w:styleId="872" w:customStyle="1">
    <w:name w:val="dat"/>
  </w:style>
  <w:style w:type="paragraph" w:styleId="873" w:customStyle="1">
    <w:name w:val="docdata"/>
    <w:basedOn w:val="86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://zakon3.rada.gov.ua/laws/show/796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5</cp:revision>
  <dcterms:created xsi:type="dcterms:W3CDTF">2021-11-02T07:10:00Z</dcterms:created>
  <dcterms:modified xsi:type="dcterms:W3CDTF">2021-11-27T08:32:51Z</dcterms:modified>
</cp:coreProperties>
</file>