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after="0" w:afterAutospacing="0" w:before="0" w:beforeAutospacing="0"/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C:\Users\User\AppData\Local\Microsoft\Windows\Temporary Internet Files\Content.MSO\DEB3B2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C:\Users\User\AppData\Local\Microsoft\Windows\Temporary Internet Files\Content.MSO\DEB3B2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9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1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19"/>
        <w:jc w:val="center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81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1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19"/>
        <w:spacing w:after="0" w:afterAutospacing="0" w:before="0" w:beforeAutospacing="0"/>
        <w:widowControl w:val="off"/>
        <w:tabs>
          <w:tab w:val="left" w:pos="4535" w:leader="none"/>
          <w:tab w:val="left" w:pos="7370" w:leader="none"/>
          <w:tab w:val="left" w:pos="7372" w:leader="none"/>
        </w:tabs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листопада 2021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417</w:t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  <w:t xml:space="preserve">Про оголошення конкурсу та проведення іспиту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shd w:val="clear" w:fill="FFFFFF" w:color="auto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Відповідно до рішення дванадцятої сесії Менської міської ради восьмого скликання від 26.10.2021 року № 5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99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«Про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внесення змін до структури та загальної чисельності виконавчого органу Менської міської ради з правом юридичної особи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статті 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0 Закону України «Про службу в органах місцевого самоврядування»; вимог постанови Кабінету Міністрів України від 15.02.2002р. № 169 «Про затвердження Порядку проведення конкурсу на заміщення вакантних посад державних службовців» із змінами та доповненнями;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 України від 08.07.2011 р.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раді, </w:t>
      </w:r>
      <w:r>
        <w:rPr>
          <w:rFonts w:ascii="Times New Roman" w:hAnsi="Times New Roman"/>
          <w:sz w:val="28"/>
          <w:szCs w:val="28"/>
        </w:rPr>
        <w:t xml:space="preserve">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01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15,</w:t>
      </w:r>
      <w:r>
        <w:rPr>
          <w:rFonts w:ascii="Times New Roman" w:hAnsi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01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18"/>
        <w:numPr>
          <w:ilvl w:val="0"/>
          <w:numId w:val="2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Оголо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сити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конкурс на заміщення вакантн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ої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посад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и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п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осадо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в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ої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ос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оби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місцевого самоврядування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головного спеціаліста-головного бухгалтера Відділу освіти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: </w:t>
      </w:r>
      <w:r/>
    </w:p>
    <w:p>
      <w:pPr>
        <w:pStyle w:val="818"/>
        <w:ind w:left="0" w:righ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2.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значити вимоги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до посади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вищ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освіт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не нижче ступеня бакалавра </w:t>
      </w:r>
      <w:r>
        <w:rPr>
          <w:rFonts w:ascii="Times New Roman" w:hAnsi="Times New Roman"/>
          <w:sz w:val="28"/>
          <w:szCs w:val="28"/>
          <w:lang w:eastAsia="uk-UA"/>
        </w:rPr>
        <w:t xml:space="preserve">відповідного професійного спрямування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галузі знань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Управління та адміністрування</w:t>
      </w:r>
      <w:r>
        <w:rPr>
          <w:rFonts w:ascii="Times New Roman" w:hAnsi="Times New Roman"/>
          <w:sz w:val="28"/>
          <w:szCs w:val="28"/>
        </w:rPr>
        <w:t xml:space="preserve">»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за спеціальністю «Облік і оподаткування</w:t>
      </w:r>
      <w:bookmarkStart w:id="1" w:name="_Hlk35440741"/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  <w:lang w:eastAsia="uk-UA"/>
        </w:rPr>
        <w:t xml:space="preserve">;</w:t>
      </w:r>
      <w:bookmarkEnd w:id="1"/>
      <w:r>
        <w:rPr>
          <w:rFonts w:ascii="Times New Roman" w:hAnsi="Times New Roman"/>
          <w:color w:val="3C392E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/>
          <w:sz w:val="28"/>
          <w:szCs w:val="28"/>
          <w:lang w:eastAsia="uk-UA"/>
        </w:rPr>
        <w:t xml:space="preserve">таж роботи на службі в органах місцевого самоврядування або державній службі не менше </w:t>
      </w:r>
      <w:r>
        <w:rPr>
          <w:rFonts w:ascii="Times New Roman" w:hAnsi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чи</w:t>
      </w:r>
      <w:r>
        <w:rPr>
          <w:rFonts w:ascii="Times New Roman" w:hAnsi="Times New Roman"/>
          <w:sz w:val="28"/>
          <w:szCs w:val="28"/>
          <w:lang w:eastAsia="uk-UA"/>
        </w:rPr>
        <w:t xml:space="preserve"> стаж роботи в інших сферах діяльності не менше </w:t>
      </w:r>
      <w:r>
        <w:rPr>
          <w:rFonts w:ascii="Times New Roman" w:hAnsi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знання основних програм роботи на комп’ютері.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Провести іспит на вакантн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посад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виконавчого органу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з правом юридичної особи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</w:t>
      </w:r>
      <w:r>
        <w:rPr>
          <w:rFonts w:ascii="Times New Roman" w:hAnsi="Times New Roman"/>
          <w:sz w:val="28"/>
          <w:szCs w:val="28"/>
        </w:rPr>
        <w:t xml:space="preserve">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у структурі </w:t>
      </w:r>
      <w:r>
        <w:rPr>
          <w:rFonts w:ascii="Times New Roman" w:hAnsi="Times New Roman"/>
          <w:sz w:val="28"/>
          <w:szCs w:val="28"/>
        </w:rPr>
        <w:t xml:space="preserve">виконавчого органу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з правом юридичної особи.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Завідувачу сектору кадрової роботи Менської міської ради </w:t>
      </w:r>
      <w:r>
        <w:rPr>
          <w:rFonts w:ascii="Times New Roman" w:hAnsi="Times New Roman"/>
          <w:color w:val="000000"/>
          <w:sz w:val="28"/>
          <w:szCs w:val="28"/>
        </w:rPr>
        <w:t xml:space="preserve">ОСЄДАЧ Раїсі Миколаївні</w:t>
      </w:r>
      <w:r>
        <w:rPr>
          <w:rFonts w:ascii="Times New Roman" w:hAnsi="Times New Roman"/>
          <w:color w:val="000000"/>
          <w:sz w:val="28"/>
          <w:szCs w:val="28"/>
        </w:rPr>
        <w:t xml:space="preserve">, розмістити </w:t>
      </w:r>
      <w:r>
        <w:rPr>
          <w:rFonts w:ascii="Times New Roman" w:hAnsi="Times New Roman"/>
          <w:color w:val="000000"/>
          <w:sz w:val="28"/>
          <w:szCs w:val="28"/>
        </w:rPr>
        <w:t xml:space="preserve">оголошення про проведення конкурсу </w:t>
      </w:r>
      <w:r>
        <w:rPr>
          <w:rFonts w:ascii="Times New Roman" w:hAnsi="Times New Roman"/>
          <w:color w:val="000000"/>
          <w:sz w:val="28"/>
          <w:szCs w:val="28"/>
        </w:rPr>
        <w:t xml:space="preserve">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</w:t>
      </w:r>
      <w:r>
        <w:rPr>
          <w:bCs/>
          <w:color w:val="000000"/>
          <w:sz w:val="28"/>
          <w:szCs w:val="28"/>
        </w:rPr>
        <w:tab/>
        <w:t xml:space="preserve">Геннадій ПРИМАКОВ</w:t>
      </w:r>
      <w:r/>
    </w:p>
    <w:p>
      <w:pPr>
        <w:shd w:val="nil" w:color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21"/>
        <w:ind w:left="5103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Додаток 1</w:t>
      </w:r>
      <w:r/>
    </w:p>
    <w:p>
      <w:pPr>
        <w:pStyle w:val="821"/>
        <w:ind w:left="5103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розпорядженн</w:t>
      </w:r>
      <w:r>
        <w:rPr>
          <w:rFonts w:ascii="Times New Roman" w:hAnsi="Times New Roman"/>
          <w:sz w:val="28"/>
          <w:szCs w:val="28"/>
        </w:rPr>
        <w:t xml:space="preserve">я міського голови </w:t>
      </w:r>
      <w:r/>
    </w:p>
    <w:p>
      <w:pPr>
        <w:pStyle w:val="821"/>
        <w:ind w:left="5103" w:firstLine="1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.11.2021 № </w:t>
      </w:r>
      <w:r>
        <w:rPr>
          <w:rFonts w:ascii="Times New Roman" w:hAnsi="Times New Roman"/>
          <w:sz w:val="28"/>
          <w:szCs w:val="28"/>
        </w:rPr>
        <w:t xml:space="preserve">417</w:t>
      </w:r>
      <w:r/>
    </w:p>
    <w:p>
      <w:pPr>
        <w:pStyle w:val="821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21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18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Перелік питань на перевірку знання Конституції України,</w:t>
      </w:r>
      <w:r/>
    </w:p>
    <w:p>
      <w:pPr>
        <w:pStyle w:val="818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Законів України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>
        <w:rPr>
          <w:rStyle w:val="822"/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Україні».</w:t>
      </w:r>
      <w:r>
        <w:rPr>
          <w:rStyle w:val="823"/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 </w:t>
      </w:r>
      <w:r/>
    </w:p>
    <w:p>
      <w:pPr>
        <w:pStyle w:val="821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709"/>
        <w:jc w:val="center"/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I. Питання на перевірку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знання Конституції України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Основні розділи Конституції України.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Основні риси Української держави за Конституцією України (статті 1,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Форма правління в Україні (стаття 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Визнання найвищої соціальної цінності України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Конституційний статус державної мови та мов національних меншин України (стаття 10).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Об&amp;apos;єкти права власності Українського народу (статті 13, 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Найважливіші функції держави (стаття 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Державні символи України (стаття 20).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Конституційне право на працю (стаття 43).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 Конституційне право на освіту (стаття 53).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Конституційне право на соціальний захист (стаття 46).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Конституційне право на охорону здоров'я (стаття 49).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Обов&amp;apos;язки громадянина України (статті 65 - 68).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Право громадянина України на вибори. (статті 70).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Призначення  всеукраїнського референдуму. Питання, що вирішуються на всеукраїнському референдумі (статті 72-74).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Бюджетна система України. Державний бюджет України (статті 95- 96).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Порядок обрання Президента України (стаття 103).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18. Дострокове припинення повноваження Президента України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108).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19. Склад Кабінету Міністрів України (стаття 114).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20. Повноваження Кабінету Міністрів України (статті 116, 117).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21. Повноваження місцевих державних адміністрацій (стаття 119).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22. Правосуддя в Україні. Система судів в Україні (стаття 124, 125).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23. Система адміністративно-територіального устрою України (стаття 133).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24.Територіальні громади. Органи місцевого самоврядування в Україні (статті 143-144).</w:t>
      </w:r>
      <w:r/>
    </w:p>
    <w:p>
      <w:pPr>
        <w:spacing w:lineRule="auto" w:line="259"/>
      </w:pPr>
      <w:r>
        <w:br w:type="page"/>
      </w:r>
      <w:r/>
    </w:p>
    <w:p>
      <w:pPr>
        <w:ind w:left="360"/>
        <w:jc w:val="center"/>
        <w:spacing w:lineRule="atLeast" w:line="301" w:after="0"/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II. Питання на перевірку знання Закону України </w:t>
      </w:r>
      <w:r/>
    </w:p>
    <w:p>
      <w:pPr>
        <w:ind w:left="360"/>
        <w:jc w:val="center"/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«Про службу в органах місцевого самоврядування»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Посади в органах місцевого самоврядування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Основні принципи  служби в органах місцевого самоврядування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Право на службу в органах місцевого самоврядування (стаття 5)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Основні обов’язки посадових осіб місцевого самоврядування (стаття 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Основні права посадових осіб місцевого самоврядування (стаття 9)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Прийняття на службу в органи місцевого самоврядування (стаття 10).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Присяга посадових осіб місцевого самоврядування (стаття 11).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Обмеження, пов&amp;apos;язані з прийняттям на службу в органи місцевого самоврядування (статті 12).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Граничний вік перебування на службі в органах місцевого самоврядування(стаття 18).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 Підстави припинення служби в органах місцевого самоврядування (стаття 20).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Класифікація посад в органах місцевого самоврядування (статті 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Ранги посадових осіб місцевого самоврядування (стаття 15).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Правове регулювання статусу посадових осіб місцевого самоврядування (стаття 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Кадровий резерв служби в органах місцевого самоврядування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16).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Відповідальність за порушення законодавства про службу в органах місцевого самоврядування (стаття 23).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Оплата праці, відпустки та пенсійне забезпечення посадових осіб місцевого самоврядування (стаття 21).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Атестація посадових осіб місцевого самоврядування (стаття 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18. Відповідальність посадової особи місцевого самоврядування (стаття  24).</w:t>
      </w:r>
      <w:r/>
    </w:p>
    <w:p>
      <w:pPr>
        <w:spacing w:lineRule="atLeast" w:line="301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spacing w:lineRule="atLeast" w:line="301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jc w:val="center"/>
        <w:spacing w:lineRule="atLeast" w:line="301" w:after="0"/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ІІІ. Питання на перевірку знання </w:t>
      </w:r>
      <w:hyperlink r:id="rId11" w:tooltip="http://zakon1.rada.gov.ua/laws/show/1700-18/paran2#n2" w:anchor="n2" w:history="1">
        <w:r>
          <w:rPr>
            <w:rStyle w:val="820"/>
            <w:rFonts w:ascii="Times New Roman" w:hAnsi="Times New Roman" w:eastAsia="Times New Roman"/>
            <w:b/>
            <w:bCs/>
            <w:color w:val="000000"/>
            <w:sz w:val="28"/>
            <w:szCs w:val="28"/>
            <w:lang w:eastAsia="uk-UA"/>
          </w:rPr>
          <w:t xml:space="preserve">Закону України</w:t>
        </w:r>
      </w:hyperlink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/>
    </w:p>
    <w:p>
      <w:pPr>
        <w:jc w:val="center"/>
        <w:spacing w:lineRule="atLeast" w:line="301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«Про запобігання корупції»</w:t>
      </w:r>
      <w:r/>
    </w:p>
    <w:p>
      <w:pPr>
        <w:jc w:val="center"/>
        <w:spacing w:lineRule="atLeast" w:line="301"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right="502"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bookmarkStart w:id="2" w:name="n165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bookmarkEnd w:id="2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"n6" \o "http://zakon1.rada.gov.ua/laws/show/1700-18/paran6#n6"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1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3" w:name="n166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Суб’єкти, на яких поширюється дія Закону України «Про запобігання корупції» (</w:t>
      </w:r>
      <w:bookmarkEnd w:id="3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"n24" \o "http://zakon1.rada.gov.ua/laws/show/1700-18/paran24#n24"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3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4" w:name="n167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Статус Національного агентства з питань запобігання корупції                (</w:t>
      </w:r>
      <w:bookmarkEnd w:id="4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"n42" \o "http://zakon1.rada.gov.ua/laws/show/1700-18/paran42#n42"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4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5" w:name="n168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Повноваження Національного агентства з питань запобігання корупції (</w:t>
      </w:r>
      <w:bookmarkEnd w:id="5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"n159" \o "http://zakon1.rada.gov.ua/laws/show/1700-18/paran159#n159"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11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Права Національного агентства з питань запобігання корупції (</w:t>
      </w:r>
      <w:hyperlink r:id="rId12" w:tooltip="http://zakon1.rada.gov.ua/laws/show/1700-18/paran183#n183" w:anchor="n183" w:history="1">
        <w:r>
          <w:rPr>
            <w:rStyle w:val="820"/>
            <w:rFonts w:ascii="Times New Roman" w:hAnsi="Times New Roman" w:eastAsia="Times New Roman"/>
            <w:color w:val="000000"/>
            <w:sz w:val="28"/>
            <w:szCs w:val="28"/>
            <w:lang w:eastAsia="uk-UA"/>
          </w:rPr>
          <w:t xml:space="preserve">стаття  12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6" w:name="n170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Контроль за діяльністю Національного агентства з питань запобігання корупції (</w:t>
      </w:r>
      <w:bookmarkEnd w:id="6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"n215" \o "http://zakon1.rada.gov.ua/laws/show/1700-18/paran215#n215"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14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7" w:name="n171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Національна доповідь щодо реалізації засад антикорупційної політики (</w:t>
      </w:r>
      <w:bookmarkEnd w:id="7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"n260" \o "http://zakon1.rada.gov.ua/laws/show/1700-18/paran260#n260"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20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8" w:name="n172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Обмеження щодо використання службових повноважень чи свого становища та одержання подарунків (</w:t>
      </w:r>
      <w:bookmarkEnd w:id="8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"n311" \o "http://zakon1.rada.gov.ua/laws/show/1700-18/paran311#n311"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статті 22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 </w:t>
      </w:r>
      <w:hyperlink r:id="rId13" w:tooltip="http://zakon1.rada.gov.ua/laws/show/1700-18/paran313#n313" w:anchor="n313" w:history="1">
        <w:r>
          <w:rPr>
            <w:rStyle w:val="820"/>
            <w:rFonts w:ascii="Times New Roman" w:hAnsi="Times New Roman" w:eastAsia="Times New Roman"/>
            <w:color w:val="000000"/>
            <w:sz w:val="28"/>
            <w:szCs w:val="28"/>
            <w:lang w:eastAsia="uk-UA"/>
          </w:rPr>
          <w:t xml:space="preserve">23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9" w:name="n173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Обмеження щодо сумісництва та суміщення з іншими видами діяльності та обмеження спільної роботи близьких осіб (</w:t>
      </w:r>
      <w:bookmarkEnd w:id="9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"n335" \o "http://zakon1.rada.gov.ua/laws/show/1700-18/paran335#n335"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статті 25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 </w:t>
      </w:r>
      <w:hyperlink r:id="rId14" w:tooltip="http://zakon1.rada.gov.ua/laws/show/1700-18/paran348#n348" w:anchor="n348" w:history="1">
        <w:r>
          <w:rPr>
            <w:rStyle w:val="820"/>
            <w:rFonts w:ascii="Times New Roman" w:hAnsi="Times New Roman" w:eastAsia="Times New Roman"/>
            <w:color w:val="000000"/>
            <w:sz w:val="28"/>
            <w:szCs w:val="28"/>
            <w:lang w:eastAsia="uk-UA"/>
          </w:rPr>
          <w:t xml:space="preserve">27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10" w:name="n174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 Запобігання та врегулювання конфлікту інтересів (</w:t>
      </w:r>
      <w:bookmarkEnd w:id="10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"n359" \o "http://zakon1.rada.gov.ua/laws/show/1700-18/paran359#n359"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28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11" w:name="n175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Заходи зовнішнього та самостійного врегулювання конфлікту інтересів (</w:t>
      </w:r>
      <w:bookmarkEnd w:id="11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"n372" \o "http://zakon1.rada.gov.ua/laws/show/1700-18/paran372#n372"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29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12" w:name="n176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Запобігання конфлікту інтересів у зв’язку з наявністю в особи підприємств чи корпоративних прав (</w:t>
      </w:r>
      <w:bookmarkEnd w:id="12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"n405" \o "http://zakon1.rada.gov.ua/laws/show/1700-18/paran405#n405"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36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13" w:name="n177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Вимоги до поведінки осіб (</w:t>
      </w:r>
      <w:bookmarkEnd w:id="13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"n417" \o "http://zakon1.rada.gov.ua/laws/show/1700-18/paran417#n417"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37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14" w:name="n178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Подання декларацій осіб, уповноважених на виконання функцій держави або місцевого самоврядування (</w:t>
      </w:r>
      <w:bookmarkEnd w:id="14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"n439" \o "http://zakon1.rada.gov.ua/laws/show/1700-18/paran439#n439"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45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15" w:name="n179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</w:t>
      </w:r>
      <w:bookmarkEnd w:id="15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Контроль та перевірка декларацій (стаття 51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16" w:name="n180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Моніторинг способу життя суб’єктів декларування (</w:t>
      </w:r>
      <w:bookmarkEnd w:id="16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"n500" \o "http://zakon1.rada.gov.ua/laws/show/1700-18/paran500#n500"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51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sz w:val="24"/>
          <w:szCs w:val="24"/>
          <w:vertAlign w:val="superscript"/>
          <w:lang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17" w:name="n181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Державний захист викривачів (</w:t>
      </w:r>
      <w:bookmarkEnd w:id="17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"n512" \o "http://zakon1.rada.gov.ua/laws/show/1700-18/paran512#n512"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53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18" w:name="n182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bookmarkEnd w:id="18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"n526" \o "http://zakon1.rada.gov.ua/laws/show/1700-18/paran526#n526"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54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19" w:name="n183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19. Антикорупційна експертиза (</w:t>
      </w:r>
      <w:bookmarkEnd w:id="19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"n529" \o "http://zakon1.rada.gov.ua/laws/show/1700-18/paran529#n529"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55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20" w:name="n184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20. Спеціальна перевірка (</w:t>
      </w:r>
      <w:bookmarkEnd w:id="20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"n550" \o "http://zakon1.rada.gov.ua/laws/show/1700-18/paran550#n550"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56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/>
      <w:bookmarkStart w:id="21" w:name="n185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21. Загальні засади запобігання корупції у діяльності юридичної особи (</w:t>
      </w:r>
      <w:bookmarkEnd w:id="21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"n649" \o "http://zakon1.rada.gov.ua/laws/show/1700-18/paran649#n649"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61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/>
      <w:bookmarkStart w:id="22" w:name="n186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22. Відповідальність за корупційні або пов’язані з корупцією правопорушення (</w:t>
      </w:r>
      <w:bookmarkEnd w:id="22"/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uk-UA"/>
        </w:rPr>
        <w:instrText xml:space="preserve"> HYPERLINK "file:///C:\\Users\\User\\Downloads\\додаток%20350.docx" \l "n701" \o "http://zakon1.rada.gov.ua/laws/show/1700-18/paran701#n701" </w:instrTex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separate"/>
      </w:r>
      <w:r>
        <w:rPr>
          <w:rStyle w:val="820"/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стаття 65</w:t>
      </w:r>
      <w:r>
        <w:rPr>
          <w:rFonts w:ascii="Times New Roman" w:hAnsi="Times New Roman" w:eastAsia="Times New Roman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/>
          <w:sz w:val="24"/>
          <w:szCs w:val="24"/>
          <w:vertAlign w:val="superscript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09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ІV. Питання на перевірку знання Закону України </w:t>
      </w:r>
      <w:r/>
    </w:p>
    <w:p>
      <w:pPr>
        <w:ind w:firstLine="709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«Про місцеве самоврядування в Україні»</w:t>
      </w:r>
      <w:r/>
    </w:p>
    <w:p>
      <w:pPr>
        <w:ind w:firstLine="709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  <w:tab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Поняття місцевого самоврядування (стаття 2). Право на участь у місцевому самоврядуванні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Громадські слухання (стаття 13).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Порядок формування рад (стаття 45).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Організація роботи виконавчого комітету (стаття 53).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Депутат ради (стаття 49).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Сільський, селищний, міський голова (стаття 12).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Сесія ради (стаття 46).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Постійні комісії ради (стаття 47).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10.Секретар сільської, селищної, міської ради (стаття 50).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Місцеві бюджети (стаття 61).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Дострокове припинення повноважень сільського, селищного, міського голови (стаття 79).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Відповідальність органів та посадових осіб місцевого самоврядування перед державою (стаття 76).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Виконавчі органи рад (стаття 11).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Дострокове припинення повноважень ради (стаття 78).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Законодавство про місцеве самоврядування (стаття 24).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ind w:left="0" w:right="0" w:firstLine="0"/>
        <w:jc w:val="center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V. Питання на перевірку знань Бюджетного кодексу України та Закону України «Про бухгалтерський облік та фінансову звітність в Україні»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Відносини, що регулюються Бюджетним кодексом України, відповідно до ст.1 Бюджетного кодексу України.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Бюджетний період, відповідно до ст.3 Бюджетного кодексу України.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Зведений бюджет, відповідно до ст.6 Бюджетного кодексу України.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Бюджетна класифікація, відповідно до ст.8 Бюджетного кодексу України.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Класифікація доходів бюджету, відповідно до ст.9 Бюджетного кодексу України.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Складові частини бюджету, відповідно до ст.13 Бюджетного кодексу України.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Резервний фонд бюджету, відповідно до ст.24 Бюджетного кодексу України.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Організаційні засади складання проєкту Державного бюджету, відповідно до ст.32 Бюджетного кодексу України.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Бюджет розвитку місцевих бюджетів, відповідно до ст.71 Бюджетного кодексу України.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Особливості затвердження місцевого бюджету з дефіцитом або профіцитом, відповідно до ст.72 Бюджетного кодексу України.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 Складання та схвалення прогнозу місцевого бюджету, відповідно до ст.75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Бюджетного кодексу України.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 Затвердження місцевих бюджетів, відповідно до ст.77 Бюджетного кодексу України.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13. Звітність про виконання місцевих бюджетів, відповідно до ст.80 Бюджетного кодексу України.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14. Мета бухгалтерського обліку та фінансової звітності, відповідно до ст.3 Закону України «Про бухгалтерський облік та фінансову звітність в Україні».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15. Принципи бухгалтерського обліку та фінансової звітності, відповідно до ст.4 Закону України «Про бухгалтерський облік та фінансову звітність в Україні».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16. Державне регулювання бухгалтерського обліку та фінансової звітності в Україні, відповідно до ст.6 Закону України «Про бухгалтерський облік та фінансову звітність в Україні».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17. Первинні документи та регістри бухгалтерського обліку, відповідно до ст.9 Закону України «Про бухгалтерський облік та фінансову звітність в Україні».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18. Загальні вимоги до фінансової звітності, відповідно до ст.11 Закону України «Про бухгалтерський облік та фінансову звітність в Україні».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19. Звітний період, відповідно до ст.13 Закону України «Про бухгалтерський облік та фінансову звітність в Україні».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20. Подання та оприлюднення фінансової звітності, відповідно до ст.14 Закону України «Про бухгалтерський облік та фінансову звітність в Україні».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4"/>
    <w:qFormat/>
    <w:uiPriority w:val="34"/>
    <w:pPr>
      <w:contextualSpacing w:val="true"/>
      <w:ind w:left="720"/>
    </w:pPr>
  </w:style>
  <w:style w:type="paragraph" w:styleId="657">
    <w:name w:val="Title"/>
    <w:basedOn w:val="814"/>
    <w:next w:val="814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19">
    <w:name w:val="Normal (Web)"/>
    <w:basedOn w:val="814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20">
    <w:name w:val="Hyperlink"/>
    <w:basedOn w:val="815"/>
    <w:uiPriority w:val="99"/>
    <w:semiHidden/>
    <w:unhideWhenUsed/>
    <w:rPr>
      <w:color w:val="0563C1" w:themeColor="hyperlink"/>
      <w:u w:val="single"/>
    </w:rPr>
  </w:style>
  <w:style w:type="paragraph" w:styleId="821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22" w:customStyle="1">
    <w:name w:val="rvts15"/>
  </w:style>
  <w:style w:type="character" w:styleId="823" w:customStyle="1">
    <w:name w:val="rvts23"/>
    <w:basedOn w:val="815"/>
  </w:style>
  <w:style w:type="paragraph" w:styleId="824" w:customStyle="1">
    <w:name w:val="docdata"/>
    <w:basedOn w:val="814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file:///C:\Users\User\Downloads\&#1076;&#1086;&#1076;&#1072;&#1090;&#1086;&#1082;%20350.docx" TargetMode="External"/><Relationship Id="rId12" Type="http://schemas.openxmlformats.org/officeDocument/2006/relationships/hyperlink" Target="file:///C:\Users\User\Downloads\&#1076;&#1086;&#1076;&#1072;&#1090;&#1086;&#1082;%20350.docx" TargetMode="External"/><Relationship Id="rId13" Type="http://schemas.openxmlformats.org/officeDocument/2006/relationships/hyperlink" Target="file:///C:\Users\User\Downloads\&#1076;&#1086;&#1076;&#1072;&#1090;&#1086;&#1082;%20350.docx" TargetMode="External"/><Relationship Id="rId14" Type="http://schemas.openxmlformats.org/officeDocument/2006/relationships/hyperlink" Target="file:///C:\Users\User\Downloads\&#1076;&#1086;&#1076;&#1072;&#1090;&#1086;&#1082;%20350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12</cp:revision>
  <dcterms:created xsi:type="dcterms:W3CDTF">2021-11-22T12:26:00Z</dcterms:created>
  <dcterms:modified xsi:type="dcterms:W3CDTF">2021-11-24T10:36:07Z</dcterms:modified>
</cp:coreProperties>
</file>