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lang w:val="uk-UA" w:bidi="en-US"/>
        </w:rPr>
        <w:t xml:space="preserve">Додаток </w:t>
      </w:r>
      <w:r>
        <w:rPr>
          <w:sz w:val="28"/>
        </w:rPr>
      </w:r>
      <w:r/>
    </w:p>
    <w:p>
      <w:pPr>
        <w:ind w:left="5669"/>
        <w:jc w:val="both"/>
        <w:spacing w:lineRule="auto" w:line="240" w:after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lang w:val="uk-UA" w:bidi="en-US"/>
        </w:rPr>
        <w:t xml:space="preserve">до</w:t>
      </w:r>
      <w:r>
        <w:rPr>
          <w:rFonts w:ascii="Times New Roman" w:hAnsi="Times New Roman" w:cs="Times New Roman" w:eastAsia="Times New Roman"/>
          <w:sz w:val="28"/>
          <w:szCs w:val="24"/>
          <w:lang w:val="uk-UA" w:bidi="en-US"/>
        </w:rPr>
        <w:t xml:space="preserve"> рішення виконавчого комітету</w:t>
      </w:r>
      <w:r>
        <w:rPr>
          <w:sz w:val="28"/>
        </w:rPr>
      </w:r>
      <w:r/>
    </w:p>
    <w:p>
      <w:pPr>
        <w:ind w:left="5669"/>
        <w:jc w:val="both"/>
        <w:spacing w:lineRule="auto" w:line="240" w:after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lang w:val="uk-UA" w:bidi="en-US"/>
        </w:rPr>
        <w:t xml:space="preserve">Менської міської ради  </w:t>
      </w:r>
      <w:r>
        <w:rPr>
          <w:sz w:val="28"/>
        </w:rPr>
      </w:r>
      <w:r/>
    </w:p>
    <w:p>
      <w:pPr>
        <w:ind w:left="5669"/>
        <w:jc w:val="both"/>
        <w:spacing w:lineRule="auto" w:line="240" w:after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lang w:val="uk-UA" w:bidi="en-US"/>
        </w:rPr>
        <w:t xml:space="preserve">23 листопада 2021 року № </w:t>
      </w:r>
      <w:r>
        <w:rPr>
          <w:rFonts w:ascii="Times New Roman" w:hAnsi="Times New Roman" w:cs="Times New Roman" w:eastAsia="Times New Roman"/>
          <w:sz w:val="28"/>
        </w:rPr>
        <w:t xml:space="preserve">377</w:t>
      </w:r>
      <w:r>
        <w:rPr>
          <w:rFonts w:ascii="Times New Roman" w:hAnsi="Times New Roman" w:cs="Times New Roman" w:eastAsia="Times New Roman"/>
        </w:rPr>
      </w:r>
    </w:p>
    <w:p>
      <w:pPr>
        <w:ind w:left="5760"/>
        <w:jc w:val="center"/>
        <w:spacing w:lineRule="auto" w:line="240" w:after="0"/>
        <w:rPr>
          <w:rFonts w:ascii="Times New Roman" w:hAnsi="Times New Roman" w:cs="Times New Roman" w:eastAsia="Batang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Batang"/>
          <w:color w:val="000000"/>
          <w:sz w:val="28"/>
          <w:lang w:val="uk-UA" w:bidi="en-US"/>
        </w:rPr>
      </w:r>
      <w:r>
        <w:rPr>
          <w:sz w:val="28"/>
        </w:rPr>
      </w:r>
      <w:r/>
    </w:p>
    <w:p>
      <w:pPr>
        <w:ind w:left="6096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ПРОЄКТ ПРОГРАМИ </w:t>
      </w:r>
      <w:r>
        <w:rPr>
          <w:sz w:val="4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РОЗВИТКУ КУЛЬТУР</w:t>
      </w: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И </w:t>
      </w:r>
      <w:r>
        <w:rPr>
          <w:sz w:val="4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МЕНСЬКОЇ МІСЬКОЇ  ТЕРИТОРІАЛЬНОЇ ГРОМАДИ </w:t>
      </w:r>
      <w:r>
        <w:rPr>
          <w:sz w:val="4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НА 2022 -2024 РОКИ</w:t>
      </w:r>
      <w:r>
        <w:rPr>
          <w:sz w:val="4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</w:r>
      <w:r>
        <w:rPr>
          <w:sz w:val="4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</w:rPr>
      </w:r>
      <w:bookmarkStart w:id="0" w:name="_GoBack"/>
      <w:r>
        <w:rPr>
          <w:b w:val="false"/>
        </w:rPr>
      </w:r>
      <w:bookmarkEnd w:id="0"/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bidi="en-US"/>
        </w:rPr>
        <w:t xml:space="preserve">м. Мена</w:t>
      </w:r>
      <w:r>
        <w:rPr>
          <w:b w:val="false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bidi="en-US"/>
        </w:rPr>
        <w:t xml:space="preserve">2021 рік</w:t>
      </w:r>
      <w:r>
        <w:rPr>
          <w:b w:val="fals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ПАСПОРТ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Програми розвитку культури Менської міської  територіальної громади на 202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-202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 роки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tbl>
      <w:tblPr>
        <w:tblStyle w:val="866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3045"/>
        <w:gridCol w:w="6290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Назва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Програма розвитку культури Менської міської  територіальної громади на 2022-2024 роки.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  <w:lang w:bidi="en-US"/>
              </w:rPr>
              <w:t xml:space="preserve">Закон України «Про місцеве самоврядування в Україні»,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  <w:lang w:bidi="en-US"/>
              </w:rPr>
              <w:t xml:space="preserve">Закон України «Про культуру»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Відділ культури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Відділ культури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8"/>
                <w:szCs w:val="28"/>
                <w:shd w:val="clear" w:fill="FFFFFF" w:color="auto"/>
                <w:lang w:bidi="en-US"/>
              </w:rPr>
              <w:t xml:space="preserve">Фінансове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fill="FFFFFF" w:color="auto"/>
                <w:lang w:bidi="en-US"/>
              </w:rPr>
              <w:t xml:space="preserve">управління</w:t>
            </w:r>
            <w:r>
              <w:rPr>
                <w:rFonts w:ascii="Times New Roman" w:hAnsi="Times New Roman" w:cs="Times New Roman" w:eastAsia="Times New Roman"/>
                <w:color w:val="222222"/>
                <w:sz w:val="28"/>
                <w:szCs w:val="28"/>
                <w:shd w:val="clear" w:fill="FFFFFF" w:color="auto"/>
                <w:lang w:bidi="en-US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Відділ культури Менської міської ради</w:t>
            </w:r>
            <w:r/>
          </w:p>
        </w:tc>
      </w:tr>
      <w:tr>
        <w:trPr>
          <w:trHeight w:val="113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Метою Програми є підтримка закладів культури, підвищення ефективності і модернізації їх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озробка та впровадження комплексу нових видів надання послуг та покращення якості існуючих послуг у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дах культури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Обсяги та джерела фінансування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 роки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25632,28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 тис. грн.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 з бюд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жету Менської міської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 територіальної громади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2022 рік - 10532,08 тис. грн.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2023 рік - 10077,80 тис. грн.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2024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ік - 5022,40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тис. грн.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pStyle w:val="872"/>
              <w:numPr>
                <w:ilvl w:val="0"/>
                <w:numId w:val="2"/>
              </w:numPr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  <w:t xml:space="preserve">створення ЦКП на базі КЗ «Менський будинок культури»;</w:t>
            </w:r>
            <w:r/>
          </w:p>
          <w:p>
            <w:pPr>
              <w:pStyle w:val="872"/>
              <w:numPr>
                <w:ilvl w:val="0"/>
                <w:numId w:val="2"/>
              </w:numPr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створення умов для належного функціонування мережі закладів культури;</w:t>
            </w:r>
            <w:r/>
          </w:p>
          <w:p>
            <w:pPr>
              <w:pStyle w:val="872"/>
              <w:numPr>
                <w:ilvl w:val="0"/>
                <w:numId w:val="2"/>
              </w:numPr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забезпечення просвітницької, виховної ролі національної культури;</w:t>
            </w:r>
            <w:r/>
          </w:p>
          <w:p>
            <w:pPr>
              <w:pStyle w:val="872"/>
              <w:numPr>
                <w:ilvl w:val="0"/>
                <w:numId w:val="2"/>
              </w:numPr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збереження народних традицій та ремесел;</w:t>
            </w:r>
            <w:r/>
          </w:p>
          <w:p>
            <w:pPr>
              <w:pStyle w:val="872"/>
              <w:numPr>
                <w:ilvl w:val="0"/>
                <w:numId w:val="2"/>
              </w:numPr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/>
            <w:bookmarkStart w:id="2" w:name="_Hlk8700437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ідвищення якості та доступності до послуг 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в сфері культу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покращення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МТБ закладів культури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підвищення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комфортності відвідувачів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872"/>
              <w:numPr>
                <w:ilvl w:val="0"/>
                <w:numId w:val="2"/>
              </w:numPr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прискорення інтеграції української культури у світовий культурний простір, що сприятиме формуванню закладами культури позитивного іміджу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Заступник міського голови з питань діяльності виконавчих органів  ради</w:t>
            </w:r>
            <w:r/>
          </w:p>
        </w:tc>
      </w:tr>
    </w:tbl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uk-UA" w:bidi="en-US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Загальні положення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Підготовка Програми розвитку культури Менської міської  територіальної громади на 2022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-2024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роки (далі – Програма) зумовлена процесами модернізації національної системи культури в Україні. Необхідність змін галузі культури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зумовлена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змінами у суспільстві.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Програма визначає стратегічні пріоритети розвитку культури, визначає організаційні засади її реалізації, обґрунтовує ресурсні потреби. У ній враховано суспіл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ьні потреби населення щодо культурних послуг, розвиток інформаційних технологій, досягнення в галузі культурницьких новацій.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Реал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ізація Програми забезпечить створення сприятливих умов для здійснення комплексу організаційних та економічних заходів, спрямованих на підвищення ролі культури, історико-культурної спадщини та забезпечення населення культурними послугами на сучасному рівні.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Сфера культури Менської міської  територіальної громади є складовою загальнодержавної системи культури. Вона включає культурно-освітні установи (КЗ «Менський Будинок культури» (24 філії), КЗ «Публічна бібліотека» (24 філії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), КЗ «Менський краєзнавчий музей ім. В.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Ф.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Покотила», КЗ «Центр культури та дозвілля молоді»), які розташовані у межах  Менської міської  територіальної громади.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Керівництво функціонуванням і розвитком галузі культури здійснює відділ культури Менської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На сьогоднішній день з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аклади культури Менської міської  територіальної громади потребують модернізації матеріально-технічної бази, впровадження найсучасніших інформаційних технологій, оновлення інтер’єрів, наповнення фондів бібліотек соціально значущою літературою та періодикою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Calibri"/>
          <w:sz w:val="28"/>
          <w:szCs w:val="28"/>
          <w:lang w:val="pl-PL"/>
        </w:rPr>
        <w:t xml:space="preserve">ідвищення якості та доступності до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культурних </w:t>
      </w:r>
      <w:r>
        <w:rPr>
          <w:rFonts w:ascii="Times New Roman" w:hAnsi="Times New Roman" w:cs="Times New Roman" w:eastAsia="Calibri"/>
          <w:sz w:val="28"/>
          <w:szCs w:val="28"/>
          <w:lang w:val="pl-PL"/>
        </w:rPr>
        <w:t xml:space="preserve">послуг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КЗ «Менський будинок культури» з філіями – це найбільший комунальний заклад Менської місь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кої  територіальної громади в сфері культури, а також центр культурного розвитку міста Мена та Менської громади. Будинок культури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введений в експлуатацію в 1950 р. Загальна площа закладу 2397,5 кв.м., велика глядацька зала (625,6 кв.м./600 місць), мала глядацька зала (233,9 кв.м./198 місць), 2 танцювальних зали, 4 гримерні кімнати, 6 кімнат для гурткових занять та клубних формувань.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Менському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будинку культури, на даний момент, діє 19 клубних формувань, з них 8 колективів які носять звання «зразковий» та «народний». Колективи будинку культу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ри беруть участь у сучасних конкурсах та фестивалях в галузі сучасної музики, виконавської майстерності, хореографії, циркового мистецтва,  як в Україні, так і за кордоном. Капітального ремонту в приміщенні не проводилося з дня відкриття будинку культури. </w:t>
      </w:r>
      <w:r/>
    </w:p>
    <w:p>
      <w:pPr>
        <w:pStyle w:val="871"/>
        <w:jc w:val="both"/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Будівля КЗ «Менського краєзнавч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ого музею ім. В. Ф. Покотила»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датується 1905 року побудови, на початку 1990-х було проведено реконструкцію даху, а саме поверх залізного даху покладено шиф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ерне покриття. Нині дах починає протікати. Вікна були замінені в 50-х роках 20 ст. і також перебувають в аварійному стані. Музей щороку відвідують більше 5 тис. туристів, у тому числі іноземців. Щороку кількість туристів збільшується як мінімум на 2 тис.</w:t>
      </w:r>
      <w:r/>
    </w:p>
    <w:p>
      <w:pPr>
        <w:pStyle w:val="87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Все це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та багато іншого говорить про музей, як один із центрів розвитку туризму громади. Щоб збільшити привабливість закладу та покращити санітарно-гігієнічні умови праці слід  провести реконструкцію даху, заміну вікон, реконструкцію ганку та встановлення пандусу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 потреб осіб з обмеженими фізичними 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Художня галерея, що міститься на першому поверсі КЗ «Менський будинок культури», перебуває в застарілому, не естетичному вигляді. Кімната має перетворитися на сучасний виставковий зал. Слід створити сучасне освітлення, кріплення для картин, вітрини для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змінних виставок, арт – резиденцій, майстер класів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Народний музей у с. Стольне знаходиться в аварійному стані. Приміщення музею та експозиція потребу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ють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ремонту. В майбутньому музей може стати філіалом експозиції кераміки та історії села Стольне.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Всі вище перелічені об’єкти несуть значний туристичний потенціал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і потребують  капіталовкладень.</w:t>
      </w:r>
      <w:r/>
    </w:p>
    <w:p>
      <w:pPr>
        <w:pStyle w:val="873"/>
        <w:ind w:firstLine="720"/>
        <w:jc w:val="both"/>
        <w:spacing w:after="120" w:afterAutospacing="0" w:before="0" w:beforeAutospacing="0"/>
        <w:rPr>
          <w:sz w:val="28"/>
          <w:szCs w:val="28"/>
          <w:lang w:val="uk-UA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Туризм – це  важливий аспект у розвитку економіки громади та її просуванні на теренах не тільки України, а й поза її межами. </w:t>
      </w:r>
      <w:r/>
    </w:p>
    <w:p>
      <w:pPr>
        <w:pStyle w:val="873"/>
        <w:ind w:firstLine="708"/>
        <w:jc w:val="both"/>
        <w:spacing w:after="0" w:afterAutospacing="0" w:before="0" w:beforeAutospacing="0"/>
        <w:rPr>
          <w:sz w:val="28"/>
          <w:szCs w:val="28"/>
          <w:lang w:val="uk-UA" w:bidi="en-US"/>
        </w:rPr>
      </w:pPr>
      <w:r>
        <w:rPr>
          <w:color w:val="000000"/>
          <w:sz w:val="28"/>
          <w:szCs w:val="28"/>
          <w:lang w:val="uk-UA"/>
        </w:rPr>
        <w:t xml:space="preserve">Менська громада має чудові природні можливості для розвитку сільського та зеленого туризму. Але самого факту їх наявності замало. Для стимулювання такого туризму передбачається надання допомоги бажаючим зайнятися цією справою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зв’язку із збільшенням туристичного потоку на територію нашої громади та</w:t>
      </w:r>
      <w:r>
        <w:rPr>
          <w:color w:val="000000"/>
          <w:sz w:val="28"/>
          <w:szCs w:val="28"/>
          <w:lang w:val="uk-UA"/>
        </w:rPr>
        <w:t xml:space="preserve"> бажанням місцевих жителів дізнатися про історію свого краю постала проблема мобільного пересування по історичним локаціям. Багато громадян через низку причин не мають  змоги придбати велосипед, або їх велосипеди перебувають у поганому технічному стані.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багатьох туристично привабливих об’єктів немає автомобільного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 автобусного сполучення. Саме пункт велопрокату та  створення по маршрутах інформаційно-туристичних вказівників дасть можливість жителям громади і численним туристам екологічно чистим видом транспорту ознайомитись з туристичними принадами нашого регіону.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КЗ «Менська публічна бібліотека» з 24 філіями – це заклад, який запроваджує інноваційні форми і методи роботи і прагне йти в ногу з часом.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Основною метою закладу є вдосконалення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і функціональне розширення діяльності даних закладів як інформаційних, краєзнавчих, соціокультурних та освітніх центрів для різних 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тегорій населення, які сприяють створенню умов підвищення культурно – освітнього рівня громадян, і особливо молоді, на основі розвитку і зміцнення матеріально-технічної бази бібліотек.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Бібліотека є місцем проведення вільного часу читачів, простором для спілкування жителів громади та виконує виховну та освітню функції з молодшими користувачами бібліотеки.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Впровадження автоматизованої бібліотечної інформаційної системи  «УФД/ Бібліотека» дасть можливість комплексної автоматизації бібліотеки, яка врахує всі вир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бничі цикли,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 w:bidi="en-US"/>
        </w:rPr>
        <w:t xml:space="preserve">що забезпечує, з погляду конкретної бібліотеки, максимально комфортний і адекватний доступ користувачів до фондів бібліотеки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Оскільки місто Мена є центром Менської міської  територі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альної громади на території якої проживає велика кількість дітей та молоді віком від 18 років. Завданнями представників органів влади є організація дозвілля дітей, молоді та інших верств населення, їх духовний, естетичний та культурний розвиток. Осередком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такого розвитку є КЗ «Центр культури та дозвілля молоді», приміщення якого на даний час знаходиться у незадовільному стані та потребує ревіталізації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з використанням енергозберігаючих технологій.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Оперативність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надання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послуг закладів культури знижується через проблемні питання, що існують у сфері культури: сл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абка матеріально-технічна база,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забезпеченість приміщень сільських клубних закладів комп’ютеризованими робочими місцями з можливістю для відвідувачів закладів доступу до мережі Інтернет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,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через відсутність регулярного транспортного сполучення між населеними пунктами громади, важко забезпечити рівний доступ до культурних та мистецьк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их заходів, матеріальних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та духовних надбань всім жителям громади. Через відсутність відповідного автотранспорту для аматорських та художніх колективів гостро стоїть питання їх переміщення по території громади в період проведення виїзних святкових заходів в місті або по території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громади, а також питання участі у різноманітних фестивалях та конкурсах, які відбуваються в інших громадах, районах, та областях. Транспорт для виїзних концертних програм замовляється у перевізників, витрачаються кошти , які б пішли на розвиток колективів.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shd w:val="clear" w:fill="FFFFFF" w:color="auto"/>
          <w:lang w:val="uk-UA" w:bidi="en-US"/>
        </w:rPr>
        <w:t xml:space="preserve">Модернізація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галузі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культури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спрямована на підвищення якості надання відповідних послуг та формування єдиного соціокультурного простору. Це вимагає концентрації зусиль органів місцевого самоврядування, громадських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організацій, направлених на зміцнення матеріально-технічної бази галузі культури, забезпечення відповідними кадрами, розробки та запровадження нових механізмів розвитку.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        Менська громада активно бере участь в проєкті «Центри культурних послуг, як інструмент згуртованості громади», який реалізу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ється Громадською організацією «Товариство дослідників України»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, за підтримки Швейцарії, яка надається через Швейцарську агенцію розвитку та співробітництва (SDC), у співпраці з Міністерством культури та інформаційної політики України.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        Центри культурних послуг (далі ЦКП) – це багатофункц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іональні публічні простори, які забезпечать доступність населенню базового набору культурних послуг, створять можливість в одному місці зібрати дорослих, дітей, молодь і людей старшого покоління аби всі охочі могли навчитися новому та вільно спілкуватися,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 w:bidi="en-US"/>
        </w:rPr>
        <w:t xml:space="preserve">також буде реальна  можливість залучити бізнес до культурного розвитку.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 Це дасть можливість одночасно оптимізувати видатки на утримання громіздкої культурної інфраструктури , підвищити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 w:bidi="en-US" w:eastAsia="uk-UA"/>
        </w:rPr>
        <w:t xml:space="preserve">ефективність використання бюджетних коштів та створити такий культурний простір, який буде привабливим і комфортним для жителів громади та користуватимуться попитом і інтересом з їх боку. В ЦКП будуть створені різні типи культурних послуг: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 w:bidi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нопланові гуртки та клуби за інтересами: антикафе, студії: художні,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музичні,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зал – трансформер, сувенірна лавка, туристичний інфраструктурний простір,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виставкова галерея, мистецький дворик, студія звукозапису та ін.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Реалізація даного проєкту в перспективі дасть можливість розпочати оновлення  Менського будинку культури, зробити його сучасним, унікальним, з новими, цікавими формами роботи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333333"/>
          <w:sz w:val="28"/>
          <w:szCs w:val="28"/>
          <w:lang w:val="uk-UA" w:bidi="en-US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Щороку в наш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понад 100 культурних масових заходів: виставки, фестивалі, ярмарки, тощо. Наймасовішими з них є: Троїцький ярмарок, фестиваль гончарства «Куманець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фестиваль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вітла та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музики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LuMena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еко-фестиваль «Медовуха-фест», спортивно-розв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ажальний фестиваль «Богатир-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FEST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ім. Т. Кореня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Крім того, проводяться традиційні місцеві, серед них: фестиваль Різдвяних Вертепів, Водохреща, Масляна, свято Івана Купала, День міста, День Незалежності, День Святого Миколая та Новий рік. 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Calibri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Разом із традиційними загальноміськими заходами, що вже започатковані, в найближчому майбутньому  планується розширити фестивалі або тематичні свята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Для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забезпечення  якісного проведення заходів необхідно поновити звукопідсилюючу та освітлювальну апаратуру.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Закладам культури потрібна підтримка щодо матеріально-технічної бази, але лише з огляду на поставлені ними цілі та оцінку досягнутих результатів. Водночас потрібні заходи зі збільшення комфортності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перебування в закладах культури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як працівників,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так і користувачів послугами,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особливо в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зимовий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період. Сучасні попити громадян потребують  підключення закладів культури до швидкісного Інтернету, створе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ння біля них зони вільного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bidi="en-US"/>
        </w:rPr>
        <w:t xml:space="preserve">WI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bidi="en-US"/>
        </w:rPr>
        <w:t xml:space="preserve">FI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Вс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 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 аспекти зумовлюють необхідність прийняття Програми розвитку культури Менської міської територіальної громади на період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2022-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2024 рок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Зазначена Програма є комплексною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об’єднує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 всі напрями діяльності у сфері культури,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передбачає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удосконалення галузі культури, вироблення нової стратегії із врахуванням перспективи якісних змін.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en-US"/>
        </w:rPr>
        <w:t xml:space="preserve">Мета Програми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Метою програми є створення умов для реалізації державної культурної політики на території Менської міської територіальної громади, задоволення культурних потреб населення, створення умов для реалізації творчих здібностей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 жителів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, збереження, відродження і розвиток народних художніх промислів, створення належних умов для охорони та збереження нематеріальної культурної спадщини, охорони та збереження пам’яток музейного фонду,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підвищення ролі бібліотек як центрів культури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, створення нових сучасних просторів для спілкування людей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  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en-US"/>
        </w:rPr>
        <w:t xml:space="preserve">                                            Основні завдання Програми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Забезпечення організаційних та економічних умов для подальшого розвитку  культосвітньої та туристичної сфери громади.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досконалення реалізації державної політики в сфері культури,  розвиток існуючої мережі закладів культури, поліпшення стану матеріально-технічної бази, підвищення ролі закладів культури в соціально-культурному житті.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Відродження української та інших національних культур, мов, збереження культурних традицій населених пунктів громади.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Створення умов для розвитку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аматорськ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ої народної творчості, популяризація кращих мистецьких надбань з населених пунктів громади , проведення різноманітних культурних проектів, фестивалів і конкурсів, розвиток народної творчості та популяризація національних звичаїв і обрядів.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Естетичне та духовне виховання дітей та юнацтва, підтримка обдарованої молоді.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Поповнення бібліотечного фонду художньою та галузевою літературою;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інформаційними ресурсами на паперових та електронних носіях, Інтернет - ресурсами.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SymbolMT"/>
          <w:color w:val="000000"/>
          <w:sz w:val="28"/>
          <w:szCs w:val="28"/>
          <w:lang w:val="uk-UA" w:eastAsia="uk-UA"/>
        </w:rPr>
        <w:t xml:space="preserve">Зміцнення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матеріально-технічної бази бібліотеки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для впровадження інноваційних форм роботи, що забезпечують вільний і рівний доступ користувачів до інформації.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Автоматизація бібліотечних процесів.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Розширення партнерських зв'язків і співпраці зі всіма зацікавленими особами і організаціями у підтримці та просуванні інформаційних послуг.</w:t>
      </w:r>
      <w:r/>
    </w:p>
    <w:p>
      <w:pPr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Розвиток туристичної галузі.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Збільшення обсягів видатків на розвиток культури.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Організація роботи щодо забезпечення реалізації на території  територіальної громади державної політики у сфері культури.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Формування засобами культури моральних та духовних цінностей, спрямованих на відродження та виховання патріотизму;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Спрямування культурно-просвітницької діяльності на залучення до активного духовного життя всіх вікових соціально-демографічних груп: дітей, підлітків, молоді, людей похилого віку;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Збереження та розвиток існуючої мережі закладів культури, її повноцінного функціонування в сучасних умовах.</w:t>
      </w:r>
      <w:r/>
    </w:p>
    <w:p>
      <w:pPr>
        <w:ind w:firstLine="567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Очікувані результати виконання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Забезпечення умов для розвитку доступної та якісної системи культури в Менській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громаді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відповідно до вимог суспільства, запитів особистості та потреб держави.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Гарантування свободи художньої творчості, участь громадських організацій в культурному житті громади. Створення оптимальних умов для реалізації б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ібліотекою своїх соціальних функцій та підвищення її ролі як центру культури та інформації.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Створення центру культурних послуг на базі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 комунального закладу «Менський будинок культури». Оновлення матеріально-технічної бази закладів культури, розрахованих на сучасні вимоги, розширення їх функцій, збільшення відвідуваності, вільний доступ жителів громади до інформаційних ресурсів. Збереженн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я, відродження та подальший розвиток традиційних народних художніх промислів, збереження кращих зразків нематеріальної культури, охорони та збереження пам’яток музейних фондів. Забезпечення ефективного використання бюджетних коштів та залучення додаткових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коштів з інших джерел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, р</w:t>
      </w:r>
      <w:r>
        <w:rPr>
          <w:rStyle w:val="87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озбудова туристичної інфраструктури</w:t>
      </w:r>
      <w:r>
        <w:rPr>
          <w:rStyle w:val="874"/>
          <w:color w:val="000000"/>
          <w:lang w:val="uk-UA"/>
        </w:rPr>
        <w:t xml:space="preserve">, С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прияння інтеграції культури Менської міської  територіальної громади у національний та світовий культурний простір.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Соціальний ефект реалізації Програми полягатиме у створенні, використанні, розповсюдженні, збереженні культурної спадщини та культурних цінностей і спр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ямований на забезпечення підвищення якості і доступу до них - передбачається приєднання закладів культури до мережі Інтернет придбання комп’ютерної та офісної техніки, автотранспорту для виїздів працівників культури та художніх колективів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району та покращення їх гастрольної діяльності, створення нових туристичних об’єктів, збільшення обсягів надання платних послуг, що сприятиме зміцненню матеріально-технічної бази та подальшому розвитку діяльності закладів, підпорядкованих Відділу культури.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Терміни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реалізації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Програми 2022-2024 рр.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Джерела фінансування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Програма розвитку галузі культури реалізується в межах загального обсягу видатків, передбачених в місцевому бюджеті на відповідні роки, а також передбачає залученн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я позабюджетних коштів інвесторів, меценатів, громадських фондів, інших юридичних і фізичних осіб, що не суперечить чинному законодавству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В додатку до Програми 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наведено перелік основних заходів Програми та орієнтовний обсяг їх фінансування.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Контроль за виконанням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Безпосередній контроль за ходом реалізації Програми, цільовим та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ефективним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використанням коштів здійснює відділ культури Менської міської ради. Відповідальні виконавці Програми здійснюють обґрунтовану оцінку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результатів її виконання та при потребі, розробляють пропозиції щодо доцільності продовження тих чи інших заходів, включення додаткових заходів і завдань, уточнення показників обсягів і джерел фінансування, переліку виконавців, строків виконання Програми.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>
        <w:rPr>
          <w:rFonts w:ascii="Times New Roman" w:hAnsi="Times New Roman" w:cs="Times New Roman" w:eastAsia="Times New Roman"/>
          <w:sz w:val="20"/>
          <w:lang w:val="uk-UA" w:bidi="en-US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>
        <w:rPr>
          <w:rFonts w:ascii="Times New Roman" w:hAnsi="Times New Roman" w:cs="Times New Roman" w:eastAsia="Times New Roman"/>
          <w:sz w:val="20"/>
          <w:lang w:val="uk-UA" w:bidi="en-US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>
        <w:rPr>
          <w:rFonts w:ascii="Times New Roman" w:hAnsi="Times New Roman" w:cs="Times New Roman" w:eastAsia="Times New Roman"/>
          <w:sz w:val="20"/>
          <w:lang w:val="uk-UA" w:bidi="en-US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>
        <w:rPr>
          <w:rFonts w:ascii="Times New Roman" w:hAnsi="Times New Roman" w:cs="Times New Roman" w:eastAsia="Times New Roman"/>
          <w:sz w:val="20"/>
          <w:lang w:val="uk-UA" w:bidi="en-US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>
        <w:rPr>
          <w:rFonts w:ascii="Times New Roman" w:hAnsi="Times New Roman" w:cs="Times New Roman" w:eastAsia="Times New Roman"/>
          <w:sz w:val="20"/>
          <w:lang w:val="uk-UA" w:bidi="en-US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>
        <w:rPr>
          <w:rFonts w:ascii="Times New Roman" w:hAnsi="Times New Roman" w:cs="Times New Roman" w:eastAsia="Times New Roman"/>
          <w:sz w:val="20"/>
          <w:lang w:val="uk-UA" w:bidi="en-US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>
        <w:rPr>
          <w:rFonts w:ascii="Times New Roman" w:hAnsi="Times New Roman" w:cs="Times New Roman" w:eastAsia="Times New Roman"/>
          <w:sz w:val="20"/>
          <w:lang w:val="uk-UA" w:bidi="en-US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>
        <w:rPr>
          <w:rFonts w:ascii="Times New Roman" w:hAnsi="Times New Roman" w:cs="Times New Roman" w:eastAsia="Times New Roman"/>
          <w:sz w:val="20"/>
          <w:lang w:val="uk-UA" w:bidi="en-US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Перелік заходів Програми розвитку культури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Менської міської територіальної громади на 2022-2024 роки та орієнтовний обсяг їх фінансування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</w:r>
      <w:r/>
    </w:p>
    <w:tbl>
      <w:tblPr>
        <w:tblStyle w:val="866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2"/>
        <w:gridCol w:w="2886"/>
        <w:gridCol w:w="977"/>
        <w:gridCol w:w="1275"/>
        <w:gridCol w:w="1280"/>
        <w:gridCol w:w="1130"/>
        <w:gridCol w:w="1134"/>
        <w:gridCol w:w="1134"/>
      </w:tblGrid>
      <w:tr>
        <w:trPr>
          <w:trHeight w:val="300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8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заходу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Орієнтовні обсяги фінансування тис.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25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8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7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2024</w:t>
            </w:r>
            <w:r/>
            <w:r/>
          </w:p>
        </w:tc>
      </w:tr>
      <w:tr>
        <w:trPr/>
        <w:tc>
          <w:tcPr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на умовах співфінансування  та забезпечення функціонування Центру культурних послуг на базі КЗ «Менський будинок культури» по вул. Героїв АТО, 3 в м. 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Корюківського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Чернігівської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багатофункціонального типу ( клуб, бібліотека, музей, інкубатор креативних індустрій, школа мистецтв, арт- резиденції, інформаційно – туристичний центр).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озробка та впровадження комплексу нових видів надання послуг та покращенн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якості існуючих послуг в закла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дах культури </w:t>
            </w:r>
            <w:bookmarkStart w:id="0" w:name="_Hlk8700516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 урахуванням потреб осіб з обмеженими фізичними можливостями)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Проєкт передбачає: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санацію та енергоефективну модернізацію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будівлі будинку культури для зменшення витрат та подовження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терміну експлуатації будівлі, а також збільшення комфорту для користувачів культурних послуг,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трансформацію всіх транзитних, видовищних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інших типів приміщень існуючих будівель, куди повинні 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особи з обмеженою мобільністю,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трансформацію прилеглого до будівель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ландшафту згідно потреб користувачів культурних послуг.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2630,0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2630,0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tbl>
            <w:tblPr>
              <w:tblStyle w:val="866"/>
              <w:tblW w:w="57" w:type="dxa"/>
              <w:tblInd w:w="-104" w:type="dxa"/>
              <w:tblBorders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insideV w:val="none" w:color="000000" w:sz="4" w:space="0"/>
                <w:insideH w:val="non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"/>
            </w:tblGrid>
            <w:tr>
              <w:trPr>
                <w:trHeight w:val="207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7" w:type="dxa"/>
                  <w:textDirection w:val="lrTb"/>
                  <w:noWrap/>
                </w:tcPr>
                <w:p>
                  <w:pPr>
                    <w:spacing w:lineRule="atLeast" w:line="240" w:after="0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bidi="en-US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ПКД на створення центру культурних послуг на базі КЗ «Менський будинок культури».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коридору ІІ поверху КЗ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танцювального класу для занять танцювальної групи ансамблю «Менщина»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дверних блоків в фойє КЗ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250.0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250.0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фойє І поверху КЗ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ремонт туалетів та системи каналізації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650.0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650.0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сходової площадки на ІІ поверх до КЗ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Менська публічна бібліотека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та встановлення водяних насосів для покращення опалення в КЗ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70.00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70.00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первинних засобів пожежогасіння (вогнегасник) для закладів культури Менської міської 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4.0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музичних інструментів та устаткування  для закладів культури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Менської міської 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цифрового мікшерного пульту, обертаючих прожекторів та генератор туману  для заливки мобільної сцени КЗ МБК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211.429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211.429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одягу для сцени (задник, куліси,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філій КЗ МБК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50..0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звукопідсилювальної апаратури для філій КЗ МБК.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90.0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оргтехніки: кольорового принтеру А3 -1 шт., ноутбуків -8 шт.,  комп`ютерів -2 шт. для клубних закладів культури Менської міської  територіальної громади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188.0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92.0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48.0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48.0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сценічних костюмів для творчих колективів клубних закладів культури Менської міської  територіальної громади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легкового автомобілю для відділу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покрівлі гаража КЗ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Транспортне забезпечення участі у виїзних заходах та конкурсах, придбання автобусу для комфортного та оперативного обслуговування культурними послугами населення громади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доступу до Інтернет мережі  філій КЗ МБК та КЗ МПБ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637.2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302.4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167.4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167,4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опалення      І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ху, ремонт фасаду та внутрішніх приміщень Макошинської філії КЗ МБК,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приміщення Макошинської філії КЗ МПБ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системи опалення, утеплення фасадів, заміна дверей, вікон спортивної зали Макошинської філії КЗ «Менський Будинок культури»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1500.0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Заміна вікон та дверних блоків  в Осьмаківській філії КЗ МБК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Часткова реконструкція даху будинку культури с. Куковичі філія КЗ МБК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ганку та фасаду КЗ «Центру культури та дозвілля молоді»,                            з виготовленням ПКД ,по вул. Героїв АТО, 10 в м. Мена Чернігівської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малого залу КЗ ЦКДМ під сучасний 3D кінотеатр з виготовленням ПКД.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функціонування  мобільного кінотеатру в КЗ ЦКДМ (транспортні витрати)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абезпечення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«Молодіжного простору» в КЗ «Центр культури та дозвілля молоді» (з урахуванням потреб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осіб з обмеженими фізичними можливостями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будівлі (заміна віконних та дверних блоків, ремонт даху, ганку, підведення водопостачання та водовідведення), комунального закладу «Менський краєзнавчий музей ім. В.Ф. Покотила»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870.4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870.4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Реекспозиція залів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закладу «Менський краєзнавчий музей ім. В.Ф. Покотила»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мультимедійного обладнання для КЗ «Менський краєзнавчий музей ім. В.Ф. Покотила» Менської міської ради, Менського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тематичної інсталяції присвяченої військовій тематиці по вул. Шевченка (біля приміщення музею)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підвального приміщення для створення окремої експозиції військової тематики в КЗ «Менський краєзнавчий музей ім. В.Ф. Покотила» Менської міської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150.0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150.0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Зелений туристичний маршрут на плотах по Десні з гастрозупинками та культурно–мистецьким обслуговуванням туристів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450.0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450.0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 умовах співфінансування велопрокату,  придбання шоломів та жилетів -25 шт,  велосипедів: для дорослих.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і встановлення 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зівників, інформаційних щитів та знаків до основних туристично-екскурсійних об’єктів (з представленням інформації щодо доступності об’єктів для осіб з обмеженими фізичними можливостями) Кількість вказівників – 30 шт., інформаційних щитів та знаків – 15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49,250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С/фін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місцевого бюджету: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49.250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та просування інформаційної продукції про туристичні можливості громади (з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представленням інформації щодо доступності об’єктів для осіб з обмеженими фізичними можливостями): Буклети – 100 шт., блокноти – 200 шт., ручки – 200 шт., еко сумки – 100 шт., магніти – 100 шт., календарі – 50 шт. щорічно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6.0</w:t>
            </w: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6.0</w:t>
            </w:r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Реалізація історико – туристичного проєкту «Менські говірки»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бібліотек кращими зразками вітчизняної та зарубіжної книжкової продукції.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800.0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800.0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бібліотек періодичними друкованими виданнями.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Поповнення фондів бібліотек документами на електронних носіях інформації та з урахуванням інтересів осіб, які мають особливі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бібліотек автоматизованими системами пожежно-охоронної сигналізації та внутрішніми засобами пожежогасіння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129.0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43.0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43.0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умов зберігання бібліотечних фондів (температурно-вологісний режим, відповідна площа розміщення, оснащення меблями, системами контролю мікроклімату, кондиціювання повітря), впровадження технології біозахисту бібліотечних фондів.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технічного обслуговування комп’ютерної техніки та локальних мереж.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Розроблення та реалізація програми з книговидання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рукована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продукція з народознавства, твори талановитих людей громади.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Збереження  історичного та культурного надбання  нашої громади, популяризація творів наших земляків, підвищення іміджу  нашої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Забезпечення надання  інформації, консультацій та навчання в ТГ за напрямками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зелений туризм,  вело –туризм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приміщення музею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Стольне з виготов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енням ПКД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та забезпечення роботи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Музею гончарства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автоматизованої бібліотечної інформаційної системи «УФД/Бібліотека»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в центрі міста рупору для звучання музики в установлені дні та години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 та забезпечення функціонування анти-кафе - громадського закладу соціального спрямування  в приміщенні КЗ «Менський будинок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Часткова реконструкція покрівлі та стелі  приміщення Стольненської філії 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Частковий ремонт покрівлі Киселівської філії 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Поточний ремонт фойє, глядацької зали , класу для репетицій дитячого духового оркестру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Киселівської філії 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міської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Частковий ремонт приміщення Слобідського БК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Створення студії звукозапису в 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Переобладнання системи опалення Городищенської філії КЗ МПБ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120.0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120.0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28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28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28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25632.28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10532.08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10077.8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5022.4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  <w:r/>
          </w:p>
        </w:tc>
      </w:tr>
    </w:tbl>
    <w:p>
      <w:pPr>
        <w:spacing w:lineRule="auto" w:line="259" w:after="16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0"/>
          <w:lang w:val="uk-UA" w:bidi="en-US"/>
        </w:rPr>
      </w:r>
      <w:r>
        <w:rPr>
          <w:rFonts w:asciiTheme="minorHAnsi" w:hAnsiTheme="minorHAnsi" w:eastAsiaTheme="minorHAnsi" w:cstheme="minorBid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0"/>
          <w:lang w:val="uk-UA" w:bidi="en-US"/>
        </w:rPr>
      </w:r>
      <w:r>
        <w:rPr>
          <w:rFonts w:asciiTheme="minorHAnsi" w:hAnsiTheme="minorHAnsi" w:eastAsiaTheme="minorHAnsi" w:cstheme="minorBid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val="uk-UA" w:bidi="en-US"/>
        </w:rPr>
        <w:t xml:space="preserve">Начальник Відділу культури</w:t>
      </w:r>
      <w:r>
        <w:rPr>
          <w:rFonts w:asciiTheme="minorHAnsi" w:hAnsiTheme="minorHAnsi" w:eastAsiaTheme="minorHAnsi" w:cstheme="minorBid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val="uk-UA" w:bidi="en-US"/>
        </w:rPr>
        <w:t xml:space="preserve">Менської міської ради </w:t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 w:eastAsia="Times New Roman" w:asciiTheme="minorHAnsi" w:hAnsiTheme="minorHAnsi" w:eastAsiaTheme="minorHAnsi" w:cstheme="minorBidi"/>
          <w:sz w:val="28"/>
          <w:szCs w:val="28"/>
          <w:lang w:val="uk-UA" w:bidi="en-US"/>
        </w:rPr>
        <w:t xml:space="preserve">Світлана ШЕЛУДЬКО</w:t>
      </w:r>
      <w:r>
        <w:rPr>
          <w:rFonts w:asciiTheme="minorHAnsi" w:hAnsiTheme="minorHAnsi" w:eastAsiaTheme="minorHAnsi" w:cstheme="minorBid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20704090202050204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2"/>
    <w:next w:val="862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863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862"/>
    <w:next w:val="862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863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2"/>
    <w:next w:val="862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3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2"/>
    <w:next w:val="862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3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2"/>
    <w:next w:val="862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3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2"/>
    <w:next w:val="862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2"/>
    <w:next w:val="862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3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2"/>
    <w:next w:val="862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3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2"/>
    <w:next w:val="862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3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basedOn w:val="862"/>
    <w:next w:val="862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3"/>
    <w:link w:val="707"/>
    <w:uiPriority w:val="10"/>
    <w:rPr>
      <w:sz w:val="48"/>
      <w:szCs w:val="48"/>
    </w:rPr>
  </w:style>
  <w:style w:type="paragraph" w:styleId="709">
    <w:name w:val="Subtitle"/>
    <w:basedOn w:val="862"/>
    <w:next w:val="862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3"/>
    <w:link w:val="709"/>
    <w:uiPriority w:val="11"/>
    <w:rPr>
      <w:sz w:val="24"/>
      <w:szCs w:val="24"/>
    </w:rPr>
  </w:style>
  <w:style w:type="paragraph" w:styleId="711">
    <w:name w:val="Quote"/>
    <w:basedOn w:val="862"/>
    <w:next w:val="862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2"/>
    <w:next w:val="862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3"/>
    <w:link w:val="867"/>
    <w:uiPriority w:val="99"/>
  </w:style>
  <w:style w:type="character" w:styleId="716">
    <w:name w:val="Footer Char"/>
    <w:basedOn w:val="863"/>
    <w:link w:val="869"/>
    <w:uiPriority w:val="99"/>
  </w:style>
  <w:style w:type="paragraph" w:styleId="717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869"/>
    <w:uiPriority w:val="99"/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table" w:styleId="866">
    <w:name w:val="Table Grid"/>
    <w:basedOn w:val="864"/>
    <w:uiPriority w:val="3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67">
    <w:name w:val="Header"/>
    <w:basedOn w:val="862"/>
    <w:link w:val="8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863"/>
    <w:link w:val="867"/>
    <w:uiPriority w:val="99"/>
  </w:style>
  <w:style w:type="paragraph" w:styleId="869">
    <w:name w:val="Footer"/>
    <w:basedOn w:val="862"/>
    <w:link w:val="8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0" w:customStyle="1">
    <w:name w:val="Нижний колонтитул Знак"/>
    <w:basedOn w:val="863"/>
    <w:link w:val="869"/>
    <w:uiPriority w:val="99"/>
  </w:style>
  <w:style w:type="paragraph" w:styleId="871">
    <w:name w:val="No Spacing"/>
    <w:qFormat/>
    <w:uiPriority w:val="1"/>
    <w:pPr>
      <w:spacing w:lineRule="auto" w:line="240" w:after="0"/>
    </w:pPr>
  </w:style>
  <w:style w:type="paragraph" w:styleId="872">
    <w:name w:val="List Paragraph"/>
    <w:basedOn w:val="862"/>
    <w:qFormat/>
    <w:uiPriority w:val="34"/>
    <w:pPr>
      <w:contextualSpacing w:val="true"/>
      <w:ind w:left="720"/>
    </w:pPr>
  </w:style>
  <w:style w:type="paragraph" w:styleId="873" w:customStyle="1">
    <w:name w:val="docdata"/>
    <w:basedOn w:val="86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74" w:customStyle="1">
    <w:name w:val="5729"/>
    <w:basedOn w:val="86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СТАРОДУБ Людмила Олександрівна</cp:lastModifiedBy>
  <cp:revision>13</cp:revision>
  <dcterms:created xsi:type="dcterms:W3CDTF">2021-11-11T10:24:00Z</dcterms:created>
  <dcterms:modified xsi:type="dcterms:W3CDTF">2021-11-27T16:56:14Z</dcterms:modified>
</cp:coreProperties>
</file>