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  рішення виконавчого комітету Менської міської ради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 листопада 2021  р. № 376</w:t>
      </w:r>
      <w:r/>
    </w:p>
    <w:p>
      <w:pPr>
        <w:jc w:val="center"/>
        <w:spacing w:lineRule="auto" w:line="240" w:after="0" w:before="283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ПРОЄКТ   ПРОГРАМИ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видалення аварійних та небезпечних дерев на території Менської міської 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1.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ЗАГАЛЬНІ ПОЛОЖЕННЯ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Благоустрій населених пунктів – комплекс робіт з інженерного захисту, розчищення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та і</w:t>
      </w:r>
      <w:r>
        <w:rPr>
          <w:rFonts w:ascii="Times New Roman" w:hAnsi="Times New Roman" w:eastAsia="Times New Roman"/>
          <w:color w:val="000000"/>
          <w:sz w:val="28"/>
        </w:rPr>
        <w:t xml:space="preserve">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Бла</w:t>
      </w:r>
      <w:r>
        <w:rPr>
          <w:rFonts w:ascii="Times New Roman" w:hAnsi="Times New Roman" w:eastAsia="Times New Roman"/>
          <w:sz w:val="28"/>
        </w:rPr>
        <w:t xml:space="preserve">гоустрою населених пунктів та зеленим </w:t>
      </w:r>
      <w:r>
        <w:rPr>
          <w:rFonts w:ascii="Times New Roman" w:hAnsi="Times New Roman" w:eastAsia="Times New Roman"/>
          <w:sz w:val="28"/>
        </w:rPr>
        <w:t xml:space="preserve">насадженням в нашій державі приділяється значна роль.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sz w:val="28"/>
        </w:rPr>
        <w:t xml:space="preserve">На сьогоднішній день проблема видалення аварійних, сухостійних, дерев та дерев, які досягли вікової межі насаджень загального користування на території громади стає актуальною.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sz w:val="28"/>
        </w:rPr>
        <w:t xml:space="preserve">Таким чином, реалізація</w:t>
      </w:r>
      <w:r>
        <w:rPr>
          <w:rFonts w:ascii="Times New Roman" w:hAnsi="Times New Roman" w:eastAsia="Times New Roman"/>
          <w:sz w:val="28"/>
        </w:rPr>
        <w:t xml:space="preserve"> «Програми з видалення аварійних та перерослих дерев на території населених пунктів Менської міської територіальної громади на 2022-2024рр.» (далі – Програма) є одним з головних напрямків її розвитку, з огляду на масштаб передбачуваних робіт і необхідність</w:t>
      </w:r>
      <w:r>
        <w:rPr>
          <w:rFonts w:ascii="Times New Roman" w:hAnsi="Times New Roman" w:eastAsia="Times New Roman"/>
          <w:sz w:val="28"/>
        </w:rPr>
        <w:t xml:space="preserve"> встановлення нормативно-правових основ діяльності всього комплексу природних і озеленених територій населених пунктів громади в цілому.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Необхі</w:t>
      </w:r>
      <w:r>
        <w:rPr>
          <w:rFonts w:ascii="Times New Roman" w:hAnsi="Times New Roman" w:eastAsia="Times New Roman"/>
          <w:color w:val="000000"/>
          <w:sz w:val="28"/>
        </w:rPr>
        <w:t xml:space="preserve">дність застосування програмного підходу до рішення проблеми визначає її соціально-економічний характер, неможливі</w:t>
      </w:r>
      <w:r>
        <w:rPr>
          <w:rFonts w:ascii="Times New Roman" w:hAnsi="Times New Roman" w:eastAsia="Times New Roman"/>
          <w:color w:val="000000"/>
          <w:sz w:val="28"/>
        </w:rPr>
        <w:t xml:space="preserve">сть комплексного рішення даної проблеми без підтримки місцевого бюджету й контролю з боку керівництва Менської міської ТГ.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Для вирішення зазначених проблем і передбачається розробка Програми.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2. ОБҐРУНТОВУВАННЯ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НЕОБХІДНОСТІ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ПРИЙНЯТТЯ ПРОГРАМИ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Програма </w:t>
      </w:r>
      <w:r>
        <w:rPr>
          <w:rFonts w:ascii="Times New Roman" w:hAnsi="Times New Roman" w:eastAsia="Times New Roman"/>
          <w:color w:val="000000"/>
          <w:sz w:val="28"/>
        </w:rPr>
        <w:t xml:space="preserve">роз</w:t>
      </w:r>
      <w:r>
        <w:rPr>
          <w:rFonts w:ascii="Times New Roman" w:hAnsi="Times New Roman" w:eastAsia="Times New Roman"/>
          <w:color w:val="000000"/>
          <w:sz w:val="28"/>
        </w:rPr>
        <w:t xml:space="preserve">роблена відповідно до:</w:t>
      </w:r>
      <w:r/>
    </w:p>
    <w:p>
      <w:pPr>
        <w:pStyle w:val="884"/>
        <w:numPr>
          <w:ilvl w:val="0"/>
          <w:numId w:val="3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Закону України </w:t>
      </w:r>
      <w:r>
        <w:rPr>
          <w:rFonts w:ascii="Times New Roman" w:hAnsi="Times New Roman" w:eastAsia="Times New Roman"/>
          <w:sz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</w:rPr>
        <w:t xml:space="preserve">Про місцеве самоврядування в Україні</w:t>
      </w:r>
      <w:r>
        <w:rPr>
          <w:rFonts w:ascii="Times New Roman" w:hAnsi="Times New Roman" w:eastAsia="Times New Roman"/>
          <w:sz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</w:rPr>
        <w:t xml:space="preserve"> (від 21.05.1997 № 280/97-ВР);</w:t>
      </w:r>
      <w:r/>
    </w:p>
    <w:p>
      <w:pPr>
        <w:pStyle w:val="884"/>
        <w:numPr>
          <w:ilvl w:val="0"/>
          <w:numId w:val="3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Закону України </w:t>
      </w:r>
      <w:r>
        <w:rPr>
          <w:rFonts w:ascii="Times New Roman" w:hAnsi="Times New Roman" w:eastAsia="Times New Roman"/>
          <w:sz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</w:rPr>
        <w:t xml:space="preserve">Про благоустрій населених пунктів</w:t>
      </w:r>
      <w:r>
        <w:rPr>
          <w:rFonts w:ascii="Times New Roman" w:hAnsi="Times New Roman" w:eastAsia="Times New Roman"/>
          <w:sz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</w:rPr>
        <w:t xml:space="preserve"> (06.09.2005 № 2807-ІV);</w:t>
      </w:r>
      <w:r/>
    </w:p>
    <w:p>
      <w:pPr>
        <w:pStyle w:val="884"/>
        <w:numPr>
          <w:ilvl w:val="0"/>
          <w:numId w:val="3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Постанов</w:t>
      </w:r>
      <w:r>
        <w:rPr>
          <w:rFonts w:ascii="Times New Roman" w:hAnsi="Times New Roman" w:eastAsia="Times New Roman"/>
          <w:sz w:val="28"/>
        </w:rPr>
        <w:t xml:space="preserve">и Кабінету Міністрів України від 01.08.2006 № 1045 із змінами і до</w:t>
      </w:r>
      <w:r>
        <w:rPr>
          <w:rFonts w:ascii="Times New Roman" w:hAnsi="Times New Roman" w:eastAsia="Times New Roman"/>
          <w:sz w:val="28"/>
        </w:rPr>
        <w:t xml:space="preserve">повненнями «Про затвердження Порядку видалення дерев, кущів, газонів і квітників у населених пунктах»;</w:t>
      </w:r>
      <w:r/>
    </w:p>
    <w:p>
      <w:pPr>
        <w:pStyle w:val="884"/>
        <w:numPr>
          <w:ilvl w:val="0"/>
          <w:numId w:val="3"/>
        </w:num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Наказу Міністерства будівництва, архітектури та житлово-комунального господарства від 10.04.2006 № 105 «Про затвердження Правил у</w:t>
      </w:r>
      <w:r>
        <w:rPr>
          <w:rFonts w:ascii="Times New Roman" w:hAnsi="Times New Roman" w:eastAsia="Times New Roman"/>
          <w:color w:val="000000"/>
          <w:sz w:val="28"/>
        </w:rPr>
        <w:t xml:space="preserve">тримання зелених насаджень в населених пунктах України».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Проблема полягає в тому, що в населених пунктах Менської міської територіальної громади на даний час нараховується велика кількість аварійно-небезпечних дерев, більшість з яких є небезпечними для буд</w:t>
      </w:r>
      <w:r>
        <w:rPr>
          <w:rFonts w:ascii="Times New Roman" w:hAnsi="Times New Roman" w:eastAsia="Times New Roman"/>
          <w:color w:val="000000"/>
          <w:sz w:val="28"/>
        </w:rPr>
        <w:t xml:space="preserve">івель, автотранспорту, електромереж, комунікацій та життя жителів.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Виконання Програми передбачається здійснити за рахунок коштів міського бюджету та інших джерел фінансування, не заборонених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3. МЕТА І ЗАВДАННЯ </w:t>
      </w:r>
      <w:r>
        <w:rPr>
          <w:rFonts w:ascii="Times New Roman" w:hAnsi="Times New Roman" w:eastAsia="Times New Roman"/>
          <w:b/>
          <w:sz w:val="28"/>
        </w:rPr>
        <w:t xml:space="preserve">ПРИЙНЯТТЯ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Метою</w:t>
      </w:r>
      <w:r>
        <w:rPr>
          <w:rFonts w:ascii="Times New Roman" w:hAnsi="Times New Roman" w:eastAsia="Times New Roman"/>
          <w:color w:val="000000"/>
          <w:sz w:val="28"/>
        </w:rPr>
        <w:t xml:space="preserve"> Програми є попередження виникнення надзвичайних ситуацій на території населених пунктів Менської міської ТГ, пов’язаних з аварійністю дерев, забезпечення безпеки для життя, здоров’я та майна людей, запобігання аварійним відключенням повітряних ліній елект</w:t>
      </w:r>
      <w:r>
        <w:rPr>
          <w:rFonts w:ascii="Times New Roman" w:hAnsi="Times New Roman" w:eastAsia="Times New Roman"/>
          <w:color w:val="000000"/>
          <w:sz w:val="28"/>
        </w:rPr>
        <w:t xml:space="preserve">ропередач, ліній зв’язку, виникненням інших аварійних ситуацій.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Основним завданням Пр</w:t>
      </w:r>
      <w:r>
        <w:rPr>
          <w:rFonts w:ascii="Times New Roman" w:hAnsi="Times New Roman" w:eastAsia="Times New Roman"/>
          <w:color w:val="000000"/>
          <w:sz w:val="28"/>
        </w:rPr>
        <w:t xml:space="preserve">ограми є забезпечити протягом 2022-2024 років організацію комплексу робіт по виконанню робіт з видалення аварійних та перерослих дерев в місцях найбільшого скупчення людей</w:t>
      </w:r>
      <w:r>
        <w:rPr>
          <w:rFonts w:ascii="Times New Roman" w:hAnsi="Times New Roman" w:eastAsia="Times New Roman"/>
          <w:color w:val="000000"/>
          <w:sz w:val="28"/>
        </w:rPr>
        <w:t xml:space="preserve">, транспорту, комунікацій, тощо.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4. ОСНОВНІ ЗАХОДИ </w:t>
      </w:r>
      <w:r>
        <w:rPr>
          <w:rFonts w:ascii="Times New Roman" w:hAnsi="Times New Roman" w:eastAsia="Times New Roman"/>
          <w:b/>
          <w:sz w:val="28"/>
        </w:rPr>
        <w:t xml:space="preserve">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Видалення зелених насаджень на території населених пунктів Менської міської ТГ здійснюється за рішенням виконавчого комітету міської ради на підставі ордера.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Видалення зелених насаджень проводить</w:t>
      </w:r>
      <w:r>
        <w:rPr>
          <w:rFonts w:ascii="Times New Roman" w:hAnsi="Times New Roman" w:eastAsia="Times New Roman"/>
          <w:color w:val="000000"/>
          <w:sz w:val="28"/>
        </w:rPr>
        <w:t xml:space="preserve">ся у відповідності до Порядку видалення дерев, кущів, газонів і квітників у населених пунктах України (далі – Порядок), затвердженого постановою Кабінету Міністрів України від 01.08.2006 № 1045. </w:t>
      </w:r>
      <w:r/>
    </w:p>
    <w:p>
      <w:pPr>
        <w:ind w:left="720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Видалення зелених насаджень здійснюється у разі: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- будівницт</w:t>
      </w:r>
      <w:r>
        <w:rPr>
          <w:rFonts w:ascii="Times New Roman" w:hAnsi="Times New Roman" w:eastAsia="Times New Roman"/>
          <w:color w:val="000000"/>
          <w:sz w:val="28"/>
        </w:rPr>
        <w:t xml:space="preserve">ва об’єкта архітектури на підставі документів, визначених части</w:t>
      </w:r>
      <w:r>
        <w:rPr>
          <w:rFonts w:ascii="Times New Roman" w:hAnsi="Times New Roman" w:eastAsia="Times New Roman"/>
          <w:sz w:val="28"/>
        </w:rPr>
        <w:t xml:space="preserve">ною першою статті 34 </w:t>
      </w:r>
      <w:hyperlink r:id="rId15" w:tooltip="http://zakon2.rada.gov.ua/laws/show/3038-17" w:history="1">
        <w:r>
          <w:rPr>
            <w:rFonts w:ascii="Times New Roman" w:hAnsi="Times New Roman" w:eastAsia="Times New Roman"/>
            <w:sz w:val="28"/>
          </w:rPr>
          <w:t xml:space="preserve">Закону України «Про регулювання містобудівної діяльності</w:t>
        </w:r>
      </w:hyperlink>
      <w:r>
        <w:rPr>
          <w:rFonts w:ascii="Times New Roman" w:hAnsi="Times New Roman" w:eastAsia="Times New Roman"/>
          <w:sz w:val="28"/>
        </w:rPr>
        <w:t xml:space="preserve">»;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- знесення аварійних, сухостійних і фаутних дерев, а та</w:t>
      </w:r>
      <w:r>
        <w:rPr>
          <w:rFonts w:ascii="Times New Roman" w:hAnsi="Times New Roman" w:eastAsia="Times New Roman"/>
          <w:sz w:val="28"/>
        </w:rPr>
        <w:t xml:space="preserve">кож самосійних і порослевих дерев з діаметром кореневої шийки не більш як 5 сантиметрів;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аварійної ситуації на інженерних мережах населеного пункту;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- відновлення світлового режиму в житловому приміщенні, що затіняється деревами;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- проведення</w:t>
      </w:r>
      <w:r>
        <w:rPr>
          <w:rFonts w:ascii="Times New Roman" w:hAnsi="Times New Roman" w:eastAsia="Times New Roman"/>
          <w:color w:val="000000"/>
          <w:sz w:val="28"/>
        </w:rPr>
        <w:t xml:space="preserve"> ремонтних та </w:t>
      </w:r>
      <w:r>
        <w:rPr>
          <w:rFonts w:ascii="Times New Roman" w:hAnsi="Times New Roman" w:eastAsia="Times New Roman"/>
          <w:color w:val="000000"/>
          <w:sz w:val="28"/>
        </w:rPr>
        <w:t xml:space="preserve">експлуатаційних робіт в охоронній зоні повітряних ліній </w:t>
      </w:r>
      <w:r>
        <w:rPr>
          <w:rFonts w:ascii="Times New Roman" w:hAnsi="Times New Roman" w:eastAsia="Times New Roman"/>
          <w:sz w:val="28"/>
        </w:rPr>
        <w:t xml:space="preserve">електропередачі</w:t>
      </w:r>
      <w:r>
        <w:rPr>
          <w:rFonts w:ascii="Times New Roman" w:hAnsi="Times New Roman" w:eastAsia="Times New Roman"/>
          <w:color w:val="000000"/>
          <w:sz w:val="28"/>
        </w:rPr>
        <w:t xml:space="preserve">, на трансформаторній підстанції і розподільному пункті системи енергопостачання, мережі водо-, </w:t>
      </w:r>
      <w:r>
        <w:rPr>
          <w:rFonts w:ascii="Times New Roman" w:hAnsi="Times New Roman" w:eastAsia="Times New Roman"/>
          <w:color w:val="000000"/>
          <w:sz w:val="28"/>
        </w:rPr>
        <w:t xml:space="preserve">теплопостачання та водовідведення, телекомунікаційній і кабельній електромережі;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- досягн</w:t>
      </w:r>
      <w:r>
        <w:rPr>
          <w:rFonts w:ascii="Times New Roman" w:hAnsi="Times New Roman" w:eastAsia="Times New Roman"/>
          <w:color w:val="000000"/>
          <w:sz w:val="28"/>
        </w:rPr>
        <w:t xml:space="preserve">е</w:t>
      </w:r>
      <w:r>
        <w:rPr>
          <w:rFonts w:ascii="Times New Roman" w:hAnsi="Times New Roman" w:eastAsia="Times New Roman"/>
          <w:sz w:val="28"/>
        </w:rPr>
        <w:t xml:space="preserve">ння деревом вікової межі;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- провадження господарської діяльності на території розсадників з вирощування декоративних дерев та кущів;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ліквідації наслідків стихійного лиха, аварійної та надзвичайної ситуац</w:t>
      </w:r>
      <w:r>
        <w:rPr>
          <w:rFonts w:ascii="Times New Roman" w:hAnsi="Times New Roman" w:eastAsia="Times New Roman"/>
          <w:color w:val="000000"/>
          <w:sz w:val="28"/>
        </w:rPr>
        <w:t xml:space="preserve">ії.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У процесі лікві</w:t>
      </w:r>
      <w:r>
        <w:rPr>
          <w:rFonts w:ascii="Times New Roman" w:hAnsi="Times New Roman" w:eastAsia="Times New Roman"/>
          <w:color w:val="000000"/>
          <w:sz w:val="28"/>
        </w:rPr>
        <w:t xml:space="preserve">дації наслідків стихійного лиха, аварійної та надзвичайної ситуації, а також у разі, коли стан зелених насаджень загрожує життю, здоров’ю людей чи майну громадян, видалення зелених насаджень здійснюється негайно з подальшим оформленням акту згідно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5. ФІНАНСОВЕ ЗАБЕЗПЕЧЕННЯ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Фінансування Програми планується здійснювати за рахунок коштів міського бюджету та інших джерел фінансування незаборонені законодавством.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Обсяги фінансування Програми за рахунок коштів міського бюджету визначаються на 2022-2024</w:t>
      </w:r>
      <w:r>
        <w:rPr>
          <w:rFonts w:ascii="Times New Roman" w:hAnsi="Times New Roman" w:eastAsia="Times New Roman"/>
          <w:color w:val="000000"/>
          <w:sz w:val="28"/>
        </w:rPr>
        <w:t xml:space="preserve"> роки відповідно до кошторису в межах бюджетних асигнувань.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Крім того рекомендується головним розпорядникам бюджетних коштів, керівникам інших підприємств установ та організацій (незалежно від форми власності), головам ОСББ при плануванні витрат на 2022-2</w:t>
      </w:r>
      <w:r>
        <w:rPr>
          <w:rFonts w:ascii="Times New Roman" w:hAnsi="Times New Roman" w:eastAsia="Times New Roman"/>
          <w:color w:val="000000"/>
          <w:sz w:val="28"/>
        </w:rPr>
        <w:t xml:space="preserve">024 роки запланувати кошти на видалення аварійних та перерослих дерев на їх територіях. Особливу увагу звернути на аварійні дерева в закладах освіти (школи, дошкільні навчальні заклади), охорони здоров’я, соціально-культурної сфери, біля центральних міськи</w:t>
      </w:r>
      <w:r>
        <w:rPr>
          <w:rFonts w:ascii="Times New Roman" w:hAnsi="Times New Roman" w:eastAsia="Times New Roman"/>
          <w:color w:val="000000"/>
          <w:sz w:val="28"/>
        </w:rPr>
        <w:t xml:space="preserve">х доріг та інших місць найбільшого скупчення людей.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Кошти, виділені з міського бюджету використовуються виключно для оплати послуг з видалення аварійно-небезпечних дерев (визначених рішенням виконавчого комітету Менської міської ради) на території населен</w:t>
      </w:r>
      <w:r>
        <w:rPr>
          <w:rFonts w:ascii="Times New Roman" w:hAnsi="Times New Roman" w:eastAsia="Times New Roman"/>
          <w:color w:val="000000"/>
          <w:sz w:val="28"/>
        </w:rPr>
        <w:t xml:space="preserve">их пунктів Менської об’єднаної територіальної громади в такому обсязі: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>
        <w:trPr>
          <w:cantSplit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Рік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i/>
                <w:color w:val="000000"/>
                <w:sz w:val="18"/>
              </w:rPr>
              <w:t xml:space="preserve">Джерела фінансування, тис.грн.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continue"/>
            <w:textDirection w:val="lrTb"/>
            <w:noWrap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i/>
                <w:color w:val="000000"/>
                <w:sz w:val="18"/>
              </w:rPr>
              <w:t xml:space="preserve">міський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i/>
                <w:color w:val="000000"/>
                <w:sz w:val="18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i/>
                <w:color w:val="000000"/>
                <w:sz w:val="18"/>
              </w:rPr>
              <w:t xml:space="preserve">Всього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20,00*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20,00*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20,00*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230,00</w:t>
            </w:r>
            <w:r/>
          </w:p>
        </w:tc>
      </w:tr>
      <w:tr>
        <w:trPr>
          <w:cantSplit/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610,00</w:t>
            </w:r>
            <w:r/>
          </w:p>
        </w:tc>
      </w:tr>
    </w:tbl>
    <w:p>
      <w:pPr>
        <w:ind w:left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* - орієнтовна сума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При плануванні видатків міського бюджету на 2022-2024 роки слід запланувати кошти в сумі 550000,00 грн. для проведення робіт з видалення аварійних та сухостійних дерев.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Видалену деревину, оплата послуг за видалення якої за Програмою здійснюватиметься за рахунок місцевого бюджету, оприбутковувати в Менську міську раду. Рішення про подальше її використання деревини приймається сесією міської ради. </w:t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uto" w:line="240" w:after="57" w:before="57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6. ОЧІКУВАНІ </w:t>
      </w:r>
      <w:r>
        <w:rPr>
          <w:rFonts w:ascii="Times New Roman" w:hAnsi="Times New Roman" w:eastAsia="Times New Roman"/>
          <w:b/>
          <w:sz w:val="28"/>
        </w:rPr>
        <w:t xml:space="preserve">РЕЗУЛЬТАТИ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Реалізація програмних заходів прямим розрахунком оцінити складно. Кінцеве головне завдання органів місцевого самоврядування - це створення сприятливих безпечних умов для жителів міста, поліпшення архітектурно-художнього обліку населених пунктів Менської мі</w:t>
      </w:r>
      <w:r>
        <w:rPr>
          <w:rFonts w:ascii="Times New Roman" w:hAnsi="Times New Roman" w:eastAsia="Times New Roman"/>
          <w:color w:val="000000"/>
          <w:sz w:val="28"/>
        </w:rPr>
        <w:t xml:space="preserve">ської територіальної громади, покращення екологічної ситуації у громаді, зменшення випадків травматизму у людей, захист споруд та техніки від аварійних руйнувань.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Виконання Програми дасть змогу забезпечити: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</w:rPr>
        <w:t xml:space="preserve">безпеку ж</w:t>
      </w:r>
      <w:r>
        <w:rPr>
          <w:rFonts w:ascii="Times New Roman" w:hAnsi="Times New Roman" w:eastAsia="Times New Roman"/>
          <w:sz w:val="28"/>
        </w:rPr>
        <w:t xml:space="preserve">иттю, здоров’ю та майну громадян;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- </w:t>
      </w:r>
      <w:r>
        <w:rPr>
          <w:rFonts w:ascii="Times New Roman" w:hAnsi="Times New Roman" w:eastAsia="Times New Roman"/>
          <w:sz w:val="28"/>
        </w:rPr>
        <w:t xml:space="preserve">безпечну експлуатацію ліній електропередач, ліній зв’язку та інших інженерних мереж;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eastAsia="Times New Roman"/>
          <w:sz w:val="28"/>
        </w:rPr>
        <w:t xml:space="preserve">покращення екологічної ситуації на території населених пунктів Менської міської ТГ;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eastAsia="Times New Roman"/>
          <w:sz w:val="28"/>
        </w:rPr>
        <w:t xml:space="preserve">омолодження паркових та рекреаційних зон;</w:t>
      </w:r>
      <w:r/>
    </w:p>
    <w:p>
      <w:pPr>
        <w:pStyle w:val="884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eastAsia="Times New Roman"/>
          <w:sz w:val="28"/>
        </w:rPr>
        <w:t xml:space="preserve">зменшення кільк</w:t>
      </w:r>
      <w:r>
        <w:rPr>
          <w:rFonts w:ascii="Times New Roman" w:hAnsi="Times New Roman" w:eastAsia="Times New Roman"/>
          <w:color w:val="000000"/>
          <w:sz w:val="28"/>
        </w:rPr>
        <w:t xml:space="preserve">ості дорожньо-транспортн</w:t>
      </w:r>
      <w:r>
        <w:rPr>
          <w:rFonts w:ascii="Times New Roman" w:hAnsi="Times New Roman" w:eastAsia="Times New Roman"/>
          <w:color w:val="000000"/>
          <w:sz w:val="28"/>
        </w:rPr>
        <w:t xml:space="preserve">их пригод.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Начальник відділу житлово-комунального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господарства, енергоефективності та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комунального майна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міської ради                                                                           Валерій КРАВЦОВ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продовження додатка</w:t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09" w:hanging="358"/>
      </w:pPr>
      <w:rPr>
        <w:rFonts w:ascii="Courier New" w:hAnsi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8"/>
      </w:pPr>
      <w:rPr>
        <w:rFonts w:ascii="Wingdings" w:hAnsi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09" w:hanging="358"/>
      </w:pPr>
      <w:rPr>
        <w:rFonts w:ascii="Courier New" w:hAnsi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8"/>
      </w:pPr>
      <w:rPr>
        <w:rFonts w:ascii="Wingdings" w:hAnsi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09" w:hanging="358"/>
      </w:pPr>
      <w:rPr>
        <w:rFonts w:ascii="Courier New" w:hAnsi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8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8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8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8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8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8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8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8"/>
      </w:pPr>
      <w:rPr>
        <w:rFonts w:ascii="Wingdings" w:hAnsi="Wingdings" w:eastAsia="Wingdings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04"/>
    <w:link w:val="727"/>
    <w:uiPriority w:val="10"/>
    <w:rPr>
      <w:sz w:val="48"/>
      <w:szCs w:val="48"/>
    </w:rPr>
  </w:style>
  <w:style w:type="character" w:styleId="35">
    <w:name w:val="Subtitle Char"/>
    <w:basedOn w:val="704"/>
    <w:link w:val="729"/>
    <w:uiPriority w:val="11"/>
    <w:rPr>
      <w:sz w:val="24"/>
      <w:szCs w:val="24"/>
    </w:rPr>
  </w:style>
  <w:style w:type="character" w:styleId="37">
    <w:name w:val="Quote Char"/>
    <w:link w:val="731"/>
    <w:uiPriority w:val="29"/>
    <w:rPr>
      <w:i/>
    </w:rPr>
  </w:style>
  <w:style w:type="character" w:styleId="39">
    <w:name w:val="Intense Quote Char"/>
    <w:link w:val="733"/>
    <w:uiPriority w:val="30"/>
    <w:rPr>
      <w:i/>
    </w:rPr>
  </w:style>
  <w:style w:type="character" w:styleId="174">
    <w:name w:val="Footnote Text Char"/>
    <w:link w:val="868"/>
    <w:uiPriority w:val="99"/>
    <w:rPr>
      <w:sz w:val="18"/>
    </w:rPr>
  </w:style>
  <w:style w:type="character" w:styleId="177">
    <w:name w:val="Endnote Text Char"/>
    <w:link w:val="871"/>
    <w:uiPriority w:val="99"/>
    <w:rPr>
      <w:sz w:val="20"/>
    </w:rPr>
  </w:style>
  <w:style w:type="paragraph" w:styleId="703" w:default="1">
    <w:name w:val="Normal"/>
    <w:rPr>
      <w:lang w:val="uk-UA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table of figures"/>
    <w:basedOn w:val="703"/>
    <w:next w:val="703"/>
    <w:uiPriority w:val="99"/>
    <w:unhideWhenUsed/>
    <w:pPr>
      <w:spacing w:after="0"/>
    </w:pPr>
  </w:style>
  <w:style w:type="paragraph" w:styleId="708" w:customStyle="1">
    <w:name w:val="Heading 1"/>
    <w:basedOn w:val="703"/>
    <w:next w:val="703"/>
    <w:link w:val="7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09" w:customStyle="1">
    <w:name w:val="Heading 1 Char"/>
    <w:basedOn w:val="704"/>
    <w:link w:val="708"/>
    <w:uiPriority w:val="9"/>
    <w:rPr>
      <w:rFonts w:ascii="Arial" w:hAnsi="Arial" w:cs="Arial" w:eastAsia="Arial"/>
      <w:sz w:val="40"/>
      <w:szCs w:val="40"/>
    </w:rPr>
  </w:style>
  <w:style w:type="paragraph" w:styleId="710" w:customStyle="1">
    <w:name w:val="Heading 2"/>
    <w:basedOn w:val="703"/>
    <w:next w:val="703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11" w:customStyle="1">
    <w:name w:val="Heading 2 Char"/>
    <w:basedOn w:val="704"/>
    <w:link w:val="710"/>
    <w:uiPriority w:val="9"/>
    <w:rPr>
      <w:rFonts w:ascii="Arial" w:hAnsi="Arial" w:cs="Arial" w:eastAsia="Arial"/>
      <w:sz w:val="34"/>
    </w:rPr>
  </w:style>
  <w:style w:type="paragraph" w:styleId="712" w:customStyle="1">
    <w:name w:val="Heading 3"/>
    <w:basedOn w:val="703"/>
    <w:next w:val="703"/>
    <w:link w:val="7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13" w:customStyle="1">
    <w:name w:val="Heading 3 Char"/>
    <w:basedOn w:val="704"/>
    <w:link w:val="712"/>
    <w:uiPriority w:val="9"/>
    <w:rPr>
      <w:rFonts w:ascii="Arial" w:hAnsi="Arial" w:cs="Arial" w:eastAsia="Arial"/>
      <w:sz w:val="30"/>
      <w:szCs w:val="30"/>
    </w:rPr>
  </w:style>
  <w:style w:type="paragraph" w:styleId="714" w:customStyle="1">
    <w:name w:val="Heading 4"/>
    <w:basedOn w:val="703"/>
    <w:next w:val="703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15" w:customStyle="1">
    <w:name w:val="Heading 4 Char"/>
    <w:basedOn w:val="704"/>
    <w:link w:val="714"/>
    <w:uiPriority w:val="9"/>
    <w:rPr>
      <w:rFonts w:ascii="Arial" w:hAnsi="Arial" w:cs="Arial" w:eastAsia="Arial"/>
      <w:b/>
      <w:bCs/>
      <w:sz w:val="26"/>
      <w:szCs w:val="26"/>
    </w:rPr>
  </w:style>
  <w:style w:type="paragraph" w:styleId="716" w:customStyle="1">
    <w:name w:val="Heading 5"/>
    <w:basedOn w:val="703"/>
    <w:next w:val="703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17" w:customStyle="1">
    <w:name w:val="Heading 5 Char"/>
    <w:basedOn w:val="704"/>
    <w:link w:val="716"/>
    <w:uiPriority w:val="9"/>
    <w:rPr>
      <w:rFonts w:ascii="Arial" w:hAnsi="Arial" w:cs="Arial" w:eastAsia="Arial"/>
      <w:b/>
      <w:bCs/>
      <w:sz w:val="24"/>
      <w:szCs w:val="24"/>
    </w:rPr>
  </w:style>
  <w:style w:type="paragraph" w:styleId="718" w:customStyle="1">
    <w:name w:val="Heading 6"/>
    <w:basedOn w:val="703"/>
    <w:next w:val="703"/>
    <w:link w:val="71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19" w:customStyle="1">
    <w:name w:val="Heading 6 Char"/>
    <w:basedOn w:val="704"/>
    <w:link w:val="718"/>
    <w:uiPriority w:val="9"/>
    <w:rPr>
      <w:rFonts w:ascii="Arial" w:hAnsi="Arial" w:cs="Arial" w:eastAsia="Arial"/>
      <w:b/>
      <w:bCs/>
      <w:sz w:val="22"/>
      <w:szCs w:val="22"/>
    </w:rPr>
  </w:style>
  <w:style w:type="paragraph" w:styleId="720" w:customStyle="1">
    <w:name w:val="Heading 7"/>
    <w:basedOn w:val="703"/>
    <w:next w:val="703"/>
    <w:link w:val="7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21" w:customStyle="1">
    <w:name w:val="Heading 7 Char"/>
    <w:basedOn w:val="704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2" w:customStyle="1">
    <w:name w:val="Heading 8"/>
    <w:basedOn w:val="703"/>
    <w:next w:val="703"/>
    <w:link w:val="7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23" w:customStyle="1">
    <w:name w:val="Heading 8 Char"/>
    <w:basedOn w:val="704"/>
    <w:link w:val="722"/>
    <w:uiPriority w:val="9"/>
    <w:rPr>
      <w:rFonts w:ascii="Arial" w:hAnsi="Arial" w:cs="Arial" w:eastAsia="Arial"/>
      <w:i/>
      <w:iCs/>
      <w:sz w:val="22"/>
      <w:szCs w:val="22"/>
    </w:rPr>
  </w:style>
  <w:style w:type="paragraph" w:styleId="724" w:customStyle="1">
    <w:name w:val="Heading 9"/>
    <w:basedOn w:val="703"/>
    <w:next w:val="703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5" w:customStyle="1">
    <w:name w:val="Heading 9 Char"/>
    <w:basedOn w:val="704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No Spacing"/>
    <w:qFormat/>
    <w:uiPriority w:val="1"/>
    <w:pPr>
      <w:spacing w:lineRule="auto" w:line="240" w:after="0"/>
    </w:pPr>
  </w:style>
  <w:style w:type="paragraph" w:styleId="727">
    <w:name w:val="Title"/>
    <w:basedOn w:val="703"/>
    <w:next w:val="703"/>
    <w:link w:val="7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8" w:customStyle="1">
    <w:name w:val="Название Знак"/>
    <w:basedOn w:val="704"/>
    <w:link w:val="727"/>
    <w:uiPriority w:val="10"/>
    <w:rPr>
      <w:sz w:val="48"/>
      <w:szCs w:val="48"/>
    </w:rPr>
  </w:style>
  <w:style w:type="paragraph" w:styleId="729">
    <w:name w:val="Subtitle"/>
    <w:basedOn w:val="703"/>
    <w:next w:val="703"/>
    <w:link w:val="730"/>
    <w:qFormat/>
    <w:uiPriority w:val="11"/>
    <w:rPr>
      <w:sz w:val="24"/>
      <w:szCs w:val="24"/>
    </w:rPr>
    <w:pPr>
      <w:spacing w:before="200"/>
    </w:pPr>
  </w:style>
  <w:style w:type="character" w:styleId="730" w:customStyle="1">
    <w:name w:val="Подзаголовок Знак"/>
    <w:basedOn w:val="704"/>
    <w:link w:val="729"/>
    <w:uiPriority w:val="11"/>
    <w:rPr>
      <w:sz w:val="24"/>
      <w:szCs w:val="24"/>
    </w:rPr>
  </w:style>
  <w:style w:type="paragraph" w:styleId="731">
    <w:name w:val="Quote"/>
    <w:basedOn w:val="703"/>
    <w:next w:val="703"/>
    <w:link w:val="732"/>
    <w:qFormat/>
    <w:uiPriority w:val="29"/>
    <w:rPr>
      <w:i/>
    </w:rPr>
    <w:pPr>
      <w:ind w:left="720" w:right="720"/>
    </w:pPr>
  </w:style>
  <w:style w:type="character" w:styleId="732" w:customStyle="1">
    <w:name w:val="Цитата 2 Знак"/>
    <w:link w:val="731"/>
    <w:uiPriority w:val="29"/>
    <w:rPr>
      <w:i/>
    </w:rPr>
  </w:style>
  <w:style w:type="paragraph" w:styleId="733">
    <w:name w:val="Intense Quote"/>
    <w:basedOn w:val="703"/>
    <w:next w:val="703"/>
    <w:link w:val="73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 w:customStyle="1">
    <w:name w:val="Выделенная цитата Знак"/>
    <w:link w:val="733"/>
    <w:uiPriority w:val="30"/>
    <w:rPr>
      <w:i/>
    </w:rPr>
  </w:style>
  <w:style w:type="paragraph" w:styleId="735" w:customStyle="1">
    <w:name w:val="Header"/>
    <w:basedOn w:val="703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 w:customStyle="1">
    <w:name w:val="Header Char"/>
    <w:basedOn w:val="704"/>
    <w:link w:val="735"/>
    <w:uiPriority w:val="99"/>
  </w:style>
  <w:style w:type="paragraph" w:styleId="737" w:customStyle="1">
    <w:name w:val="Footer"/>
    <w:basedOn w:val="703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Footer Char"/>
    <w:basedOn w:val="704"/>
    <w:link w:val="737"/>
    <w:uiPriority w:val="99"/>
  </w:style>
  <w:style w:type="paragraph" w:styleId="739" w:customStyle="1">
    <w:name w:val="Caption"/>
    <w:basedOn w:val="703"/>
    <w:next w:val="70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40" w:customStyle="1">
    <w:name w:val="Caption Char"/>
    <w:link w:val="737"/>
    <w:uiPriority w:val="99"/>
  </w:style>
  <w:style w:type="table" w:styleId="741">
    <w:name w:val="Table Grid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1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3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5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6" w:customStyle="1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5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6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7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8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9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0" w:customStyle="1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6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7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8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9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0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1" w:customStyle="1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4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5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6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7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8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9" w:customStyle="1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7" w:customStyle="1">
    <w:name w:val="Lined - Accent 1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8" w:customStyle="1">
    <w:name w:val="Lined - Accent 2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49" w:customStyle="1">
    <w:name w:val="Lined - Accent 3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0" w:customStyle="1">
    <w:name w:val="Lined - Accent 4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1" w:customStyle="1">
    <w:name w:val="Lined - Accent 5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2" w:customStyle="1">
    <w:name w:val="Lined - Accent 6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3" w:customStyle="1">
    <w:name w:val="Bordered &amp; Lined - Accent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4" w:customStyle="1">
    <w:name w:val="Bordered &amp; Lined - Accent 1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5" w:customStyle="1">
    <w:name w:val="Bordered &amp; Lined - Accent 2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6" w:customStyle="1">
    <w:name w:val="Bordered &amp; Lined - Accent 3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7" w:customStyle="1">
    <w:name w:val="Bordered &amp; Lined - Accent 4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8" w:customStyle="1">
    <w:name w:val="Bordered &amp; Lined - Accent 5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9" w:customStyle="1">
    <w:name w:val="Bordered &amp; Lined - Accent 6"/>
    <w:basedOn w:val="70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0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2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3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4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5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6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563C1" w:themeColor="hyperlink"/>
      <w:u w:val="single"/>
    </w:rPr>
  </w:style>
  <w:style w:type="paragraph" w:styleId="868">
    <w:name w:val="footnote text"/>
    <w:basedOn w:val="703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basedOn w:val="704"/>
    <w:uiPriority w:val="99"/>
    <w:unhideWhenUsed/>
    <w:rPr>
      <w:vertAlign w:val="superscript"/>
    </w:rPr>
  </w:style>
  <w:style w:type="paragraph" w:styleId="871">
    <w:name w:val="endnote text"/>
    <w:basedOn w:val="703"/>
    <w:link w:val="872"/>
    <w:uiPriority w:val="99"/>
    <w:semiHidden/>
    <w:unhideWhenUsed/>
    <w:rPr>
      <w:sz w:val="20"/>
    </w:rPr>
    <w:pPr>
      <w:spacing w:lineRule="auto" w:line="240" w:after="0"/>
    </w:pPr>
  </w:style>
  <w:style w:type="character" w:styleId="872" w:customStyle="1">
    <w:name w:val="Текст концевой сноски Знак"/>
    <w:link w:val="871"/>
    <w:uiPriority w:val="99"/>
    <w:rPr>
      <w:sz w:val="20"/>
    </w:rPr>
  </w:style>
  <w:style w:type="character" w:styleId="873">
    <w:name w:val="endnote reference"/>
    <w:basedOn w:val="704"/>
    <w:uiPriority w:val="99"/>
    <w:semiHidden/>
    <w:unhideWhenUsed/>
    <w:rPr>
      <w:vertAlign w:val="superscript"/>
    </w:rPr>
  </w:style>
  <w:style w:type="paragraph" w:styleId="874">
    <w:name w:val="toc 1"/>
    <w:basedOn w:val="703"/>
    <w:next w:val="703"/>
    <w:uiPriority w:val="39"/>
    <w:unhideWhenUsed/>
    <w:pPr>
      <w:spacing w:after="57"/>
    </w:pPr>
  </w:style>
  <w:style w:type="paragraph" w:styleId="875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6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7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8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9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80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81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82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List Paragraph"/>
    <w:rPr>
      <w:lang w:val="uk-UA"/>
    </w:rPr>
    <w:pPr>
      <w:contextualSpacing w:val="true"/>
      <w:ind w:left="720"/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Normal (Web)"/>
    <w:basedOn w:val="703"/>
    <w:semiHidden/>
    <w:rPr>
      <w:rFonts w:ascii="Times New Roman" w:hAnsi="Times New Roman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</w:pPr>
  </w:style>
  <w:style w:type="character" w:styleId="886" w:customStyle="1">
    <w:name w:val="docdata"/>
    <w:basedOn w:val="704"/>
  </w:style>
  <w:style w:type="character" w:styleId="887" w:customStyle="1">
    <w:name w:val="Основной текст (4) + Times New Roman;14 pt"/>
    <w:basedOn w:val="704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://zakon2.rada.gov.ua/laws/show/3038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СТАРОДУБ Людмила Олександрівна</cp:lastModifiedBy>
  <cp:revision>3</cp:revision>
  <dcterms:created xsi:type="dcterms:W3CDTF">2021-11-08T14:22:00Z</dcterms:created>
  <dcterms:modified xsi:type="dcterms:W3CDTF">2021-11-27T16:50:06Z</dcterms:modified>
</cp:coreProperties>
</file>