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-2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</w:t>
      </w:r>
      <w:r>
        <w:rPr>
          <w:rFonts w:ascii="Times New Roman" w:hAnsi="Times New Roman"/>
          <w:sz w:val="28"/>
          <w:szCs w:val="20"/>
        </w:rPr>
        <w:t xml:space="preserve">одаток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1</w:t>
      </w:r>
      <w:r>
        <w:rPr>
          <w:rFonts w:ascii="Times New Roman" w:hAnsi="Times New Roman"/>
          <w:sz w:val="28"/>
          <w:szCs w:val="20"/>
        </w:rPr>
        <w:t xml:space="preserve"> </w:t>
      </w:r>
      <w:r/>
    </w:p>
    <w:p>
      <w:pPr>
        <w:ind w:left="5669" w:right="-2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до </w:t>
      </w:r>
      <w:r>
        <w:rPr>
          <w:rFonts w:ascii="Times New Roman" w:hAnsi="Times New Roman"/>
          <w:sz w:val="28"/>
          <w:szCs w:val="20"/>
        </w:rPr>
        <w:t xml:space="preserve">рішення виконавчого комітету Менської міської</w:t>
      </w:r>
      <w:r>
        <w:rPr>
          <w:rFonts w:ascii="Times New Roman" w:hAnsi="Times New Roman"/>
          <w:sz w:val="28"/>
          <w:szCs w:val="20"/>
        </w:rPr>
        <w:t xml:space="preserve"> ради </w:t>
      </w:r>
      <w:r/>
    </w:p>
    <w:p>
      <w:pPr>
        <w:ind w:left="5669" w:right="-2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/>
          <w:sz w:val="28"/>
          <w:szCs w:val="20"/>
        </w:rPr>
      </w:r>
      <w:r>
        <w:rPr>
          <w:rFonts w:ascii="Times New Roman" w:hAnsi="Times New Roman"/>
          <w:sz w:val="28"/>
          <w:szCs w:val="20"/>
        </w:rPr>
        <w:t xml:space="preserve">23 листопада 2021 </w:t>
      </w:r>
      <w:r>
        <w:rPr>
          <w:rFonts w:ascii="Times New Roman" w:hAnsi="Times New Roman"/>
          <w:sz w:val="28"/>
          <w:szCs w:val="20"/>
        </w:rPr>
        <w:t xml:space="preserve">року № </w:t>
      </w:r>
      <w:r>
        <w:rPr>
          <w:rFonts w:ascii="Times New Roman" w:hAnsi="Times New Roman" w:cs="Times New Roman" w:eastAsia="Times New Roman"/>
          <w:sz w:val="28"/>
        </w:rPr>
        <w:t xml:space="preserve">374</w:t>
      </w:r>
      <w:r>
        <w:rPr>
          <w:rFonts w:ascii="Times New Roman" w:hAnsi="Times New Roman" w:cs="Times New Roman" w:eastAsia="Times New Roman"/>
        </w:rPr>
      </w:r>
    </w:p>
    <w:p>
      <w:pPr>
        <w:ind w:left="6379" w:right="-2"/>
        <w:jc w:val="both"/>
        <w:tabs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0"/>
          <w:szCs w:val="20"/>
        </w:rPr>
      </w: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sz w:val="28"/>
        </w:rPr>
        <w:outlineLvl w:val="3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ПРОЄКТ   ПРОГРАМИ</w:t>
      </w:r>
      <w:r>
        <w:rPr>
          <w:sz w:val="28"/>
        </w:rPr>
      </w:r>
      <w:r/>
    </w:p>
    <w:p>
      <w:pPr>
        <w:numPr>
          <w:ilvl w:val="3"/>
          <w:numId w:val="0"/>
        </w:numPr>
        <w:ind w:right="-1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sz w:val="28"/>
        </w:rPr>
        <w:outlineLvl w:val="3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36"/>
          <w:lang w:eastAsia="ru-RU"/>
        </w:rPr>
      </w:pPr>
      <w:r>
        <w:rPr>
          <w:sz w:val="28"/>
        </w:rPr>
      </w:r>
      <w:bookmarkStart w:id="3" w:name="_Hlk24645799"/>
      <w:r>
        <w:rPr>
          <w:rFonts w:ascii="Times New Roman" w:hAnsi="Times New Roman" w:eastAsia="Times New Roman"/>
          <w:b/>
          <w:sz w:val="28"/>
          <w:szCs w:val="36"/>
          <w:lang w:eastAsia="ru-RU"/>
        </w:rPr>
        <w:t xml:space="preserve">відшкодування втрат КП</w:t>
      </w:r>
      <w:r>
        <w:rPr>
          <w:rFonts w:ascii="Times New Roman" w:hAnsi="Times New Roman" w:eastAsia="Times New Roman"/>
          <w:b/>
          <w:sz w:val="28"/>
          <w:szCs w:val="36"/>
          <w:lang w:eastAsia="ru-RU"/>
        </w:rPr>
        <w:t xml:space="preserve"> «Менакомунпослуга»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sz w:val="28"/>
          <w:szCs w:val="36"/>
          <w:lang w:eastAsia="ru-RU"/>
        </w:rPr>
        <w:t xml:space="preserve">від надання </w:t>
      </w:r>
      <w:r>
        <w:rPr>
          <w:rFonts w:ascii="Times New Roman" w:hAnsi="Times New Roman" w:eastAsia="Times New Roman"/>
          <w:b/>
          <w:sz w:val="28"/>
          <w:szCs w:val="36"/>
          <w:lang w:eastAsia="ru-RU"/>
        </w:rPr>
        <w:t xml:space="preserve">послуг лазні за пільговими тарифами </w:t>
      </w:r>
      <w:bookmarkEnd w:id="3"/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sz w:val="28"/>
          <w:szCs w:val="36"/>
          <w:lang w:eastAsia="ar-SA"/>
        </w:rPr>
        <w:t xml:space="preserve">на 202</w:t>
      </w:r>
      <w:r>
        <w:rPr>
          <w:rFonts w:ascii="Times New Roman" w:hAnsi="Times New Roman" w:eastAsia="Times New Roman"/>
          <w:b/>
          <w:sz w:val="28"/>
          <w:szCs w:val="36"/>
          <w:lang w:eastAsia="ar-SA"/>
        </w:rPr>
        <w:t xml:space="preserve">2</w:t>
      </w:r>
      <w:r>
        <w:rPr>
          <w:rFonts w:ascii="Times New Roman" w:hAnsi="Times New Roman" w:eastAsia="Times New Roman"/>
          <w:b/>
          <w:sz w:val="28"/>
          <w:szCs w:val="36"/>
          <w:lang w:eastAsia="ar-SA"/>
        </w:rPr>
        <w:t xml:space="preserve">-202</w:t>
      </w:r>
      <w:r>
        <w:rPr>
          <w:rFonts w:ascii="Times New Roman" w:hAnsi="Times New Roman" w:eastAsia="Times New Roman"/>
          <w:b/>
          <w:sz w:val="28"/>
          <w:szCs w:val="36"/>
          <w:lang w:eastAsia="ar-SA"/>
        </w:rPr>
        <w:t xml:space="preserve">4</w:t>
      </w:r>
      <w:r>
        <w:rPr>
          <w:rFonts w:ascii="Times New Roman" w:hAnsi="Times New Roman" w:eastAsia="Times New Roman"/>
          <w:b/>
          <w:sz w:val="28"/>
          <w:szCs w:val="36"/>
          <w:lang w:eastAsia="ar-SA"/>
        </w:rPr>
        <w:t xml:space="preserve"> роки</w:t>
      </w:r>
      <w:r>
        <w:rPr>
          <w:sz w:val="28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36"/>
          <w:lang w:eastAsia="ru-RU"/>
        </w:rPr>
      </w:r>
      <w:r>
        <w:rPr>
          <w:sz w:val="28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lang w:eastAsia="ru-RU"/>
        </w:rPr>
        <w:outlineLvl w:val="3"/>
      </w:pPr>
      <w:r>
        <w:rPr>
          <w:rFonts w:ascii="Times New Roman" w:hAnsi="Times New Roman" w:eastAsia="Times New Roman"/>
          <w:sz w:val="36"/>
          <w:szCs w:val="36"/>
          <w:lang w:eastAsia="ru-RU"/>
        </w:rPr>
      </w:r>
      <w:r>
        <w:rPr>
          <w:rFonts w:ascii="Times New Roman" w:hAnsi="Times New Roman" w:eastAsia="Times New Roman"/>
          <w:sz w:val="36"/>
          <w:szCs w:val="3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36"/>
          <w:szCs w:val="36"/>
          <w:lang w:eastAsia="ru-RU"/>
        </w:rPr>
      </w:r>
      <w:r>
        <w:rPr>
          <w:rFonts w:ascii="Times New Roman" w:hAnsi="Times New Roman" w:eastAsia="Times New Roman"/>
          <w:sz w:val="36"/>
          <w:szCs w:val="3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Мена, 2021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lang w:eastAsia="ru-RU"/>
        </w:rPr>
        <w:outlineLvl w:val="3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1. Паспорт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tabs>
          <w:tab w:val="left" w:pos="993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Програми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відшкодування втрат КП «Менакомунпослуга» від надання послуг лазні за пільговими тарифами на 202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-202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роки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tabs>
          <w:tab w:val="left" w:pos="993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tbl>
      <w:tblPr>
        <w:tblW w:w="4852" w:type="pct"/>
        <w:tblBorders>
          <w:left w:val="single" w:color="999999" w:sz="4" w:space="0"/>
          <w:top w:val="single" w:color="999999" w:sz="4" w:space="0"/>
          <w:right w:val="single" w:color="999999" w:sz="4" w:space="0"/>
          <w:bottom w:val="single" w:color="999999" w:sz="4" w:space="0"/>
          <w:insideV w:val="single" w:color="999999" w:sz="4" w:space="0"/>
          <w:insideH w:val="single" w:color="999999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296"/>
        <w:gridCol w:w="4307"/>
      </w:tblGrid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Менська міська рада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Розробник 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Менська міська рада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cantSplit/>
          <w:trHeight w:val="276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Співрозробник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КП «Менакомунпослуга» Менської міської ради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КП «Менакомунпослуга» Менської міської ради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Термін реалізації 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2-202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 р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оки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Перелік джерел фінансування, які беруть участь у виконанні Програми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виконання Програми за кошти  бюджету Менської міської територіальної громади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рік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– 60 000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грн.;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2023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рік –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 000 грн.;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2024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рік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– 60 000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грн.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8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shd w:val="nil" w:color="auto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  <w:shd w:val="clear" w:fill="FFFFFF" w:color="auto"/>
        </w:rPr>
        <w:br w:type="page"/>
      </w:r>
      <w:r>
        <w:rPr>
          <w:rFonts w:ascii="Times New Roman" w:hAnsi="Times New Roman" w:eastAsia="Times New Roman"/>
          <w:b/>
          <w:sz w:val="28"/>
          <w:shd w:val="clear" w:fill="FFFFFF" w:color="auto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8"/>
          <w:shd w:val="clear" w:fill="FFFFFF" w:color="auto"/>
        </w:rPr>
        <w:t xml:space="preserve">2. Загальні положення</w:t>
      </w:r>
      <w:r>
        <w:rPr>
          <w:rFonts w:ascii="Times New Roman" w:hAnsi="Times New Roman" w:eastAsia="Times New Roman"/>
          <w:b/>
          <w:sz w:val="28"/>
          <w:shd w:val="clear" w:fill="FFFFFF" w:color="auto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0"/>
          <w:szCs w:val="20"/>
          <w:shd w:val="clear" w:fill="FFFFFF" w:color="auto"/>
        </w:rPr>
      </w:r>
      <w:r>
        <w:rPr>
          <w:rFonts w:ascii="Times New Roman" w:hAnsi="Times New Roman" w:eastAsia="Times New Roman"/>
          <w:b/>
          <w:sz w:val="20"/>
          <w:szCs w:val="20"/>
          <w:shd w:val="clear" w:fill="FFFFFF" w:color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lang w:val="ru-RU"/>
        </w:rPr>
      </w:pPr>
      <w:r>
        <w:rPr>
          <w:rFonts w:ascii="Times New Roman" w:hAnsi="Times New Roman" w:eastAsia="Times New Roman"/>
          <w:sz w:val="28"/>
          <w:shd w:val="clear" w:fill="FFFFFF" w:color="auto"/>
        </w:rPr>
        <w:t xml:space="preserve">2.1.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Конституцією України гарантовано соціальний захист та гідний рівень життя кожному громадянину України.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Соціальний захист найменш захищених верств населення – один з пріоритетних напрямів політики держави в цілому та Менської міської ради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,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зокрема. </w:t>
      </w:r>
      <w:r>
        <w:rPr>
          <w:rFonts w:ascii="Times New Roman" w:hAnsi="Times New Roman" w:eastAsia="Times New Roman"/>
          <w:sz w:val="28"/>
          <w:shd w:val="clear" w:fill="FFFFFF" w:color="auto"/>
          <w:lang w:val="ru-RU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hd w:val="clear" w:fill="FFFFFF" w:color="auto"/>
        </w:rPr>
        <w:t xml:space="preserve">Соціальний захист незахищених верств населення передбачає ряд заходів, направлених на зниження рівня бідності та покращення життя, матеріальних умов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малозабезпечених сімей, громадян непрацездатного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віку, осіб з інвалідністю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, ветеранів війни та праці, інших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категорі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й.</w:t>
      </w:r>
      <w:r>
        <w:rPr>
          <w:rFonts w:ascii="Times New Roman" w:hAnsi="Times New Roman" w:eastAsia="Times New Roman"/>
          <w:sz w:val="28"/>
          <w:shd w:val="clear" w:fill="FFFFFF" w:color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hd w:val="clear" w:fill="FFFFFF" w:color="auto"/>
        </w:rPr>
        <w:t xml:space="preserve">Враховуючи з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ростання цін і тарифів на житлово-комунальні послуги,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враховуючи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розмір пенсії переважної більшості громадян </w:t>
      </w:r>
      <w:bookmarkStart w:id="4" w:name="_Hlk24477467"/>
      <w:r>
        <w:rPr>
          <w:rFonts w:ascii="Times New Roman" w:hAnsi="Times New Roman" w:eastAsia="Times New Roman"/>
          <w:sz w:val="28"/>
          <w:shd w:val="clear" w:fill="FFFFFF" w:color="auto"/>
        </w:rPr>
        <w:t xml:space="preserve">непрацездат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ного віку,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осіб з інвалідністю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,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з метою захисту та підтримки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вказаних осіб, а також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інших категорій осіб (зокрема, ветеранів війни,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осіб, які постраждали внаслідок Чорнобильської катастрофи)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,</w:t>
      </w:r>
      <w:bookmarkEnd w:id="4"/>
      <w:r>
        <w:rPr>
          <w:rFonts w:ascii="Times New Roman" w:hAnsi="Times New Roman" w:eastAsia="Times New Roman"/>
          <w:sz w:val="28"/>
          <w:shd w:val="clear" w:fill="FFFFFF" w:color="auto"/>
        </w:rPr>
        <w:t xml:space="preserve"> є необхідність у запровадженні додаткових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до встановлених законодавством гарантій щодо соціального захисту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та підтримки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населення</w:t>
      </w:r>
      <w:bookmarkStart w:id="5" w:name="_Hlk24642690"/>
      <w:r>
        <w:rPr>
          <w:rFonts w:ascii="Times New Roman" w:hAnsi="Times New Roman" w:eastAsia="Times New Roman"/>
          <w:sz w:val="28"/>
          <w:shd w:val="clear" w:fill="FFFFFF" w:color="auto"/>
        </w:rPr>
        <w:t xml:space="preserve">.</w:t>
      </w:r>
      <w:bookmarkEnd w:id="5"/>
      <w:r>
        <w:rPr>
          <w:rFonts w:ascii="Times New Roman" w:hAnsi="Times New Roman" w:eastAsia="Times New Roman"/>
          <w:sz w:val="28"/>
          <w:shd w:val="clear" w:fill="FFFFFF" w:color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hd w:val="clear" w:fill="FFFFFF" w:color="auto"/>
        </w:rPr>
        <w:t xml:space="preserve">На даний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час КП «Менакомунпослуга» надає послуги лазні. 08 жовтня 2019 року прийнято рішення виконкому Менської міської ради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про вст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ановлення тарифу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на послугу лазні, що надає комунальне підприємство «Менакомунпослуга» Менської міської ради - </w:t>
      </w:r>
      <w:bookmarkStart w:id="6" w:name="_Hlk24647367"/>
      <w:r>
        <w:rPr>
          <w:rFonts w:ascii="Times New Roman" w:hAnsi="Times New Roman" w:eastAsia="Times New Roman"/>
          <w:sz w:val="28"/>
          <w:shd w:val="clear" w:fill="FFFFFF" w:color="auto"/>
        </w:rPr>
        <w:t xml:space="preserve">відвідування лазні для однієї особи (одне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помивочне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місце) в загальному залі лазні з використанням пару за 2 години в розмірі 100,00 грн</w:t>
      </w:r>
      <w:bookmarkEnd w:id="6"/>
      <w:r>
        <w:rPr>
          <w:rFonts w:ascii="Times New Roman" w:hAnsi="Times New Roman" w:eastAsia="Times New Roman"/>
          <w:sz w:val="28"/>
          <w:shd w:val="clear" w:fill="FFFFFF" w:color="auto"/>
        </w:rPr>
        <w:t xml:space="preserve">.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Розмір тарифу включає витрати підприємства по наданню послуг лазні.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Встановлення та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рифу меншого розміру призведе до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неспроможності підприємства якіс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но та своєчасно надавати вказану послугу,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своєчасно сплачувати податки, збори та здійснювати платежі за енергоресурси які використовуються для надання послуг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и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.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hd w:val="clear" w:fill="FFFFFF" w:color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hd w:val="clear" w:fill="FFFFFF" w:color="auto"/>
        </w:rPr>
        <w:t xml:space="preserve">Є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громадян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и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непрацездат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ного віку,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особи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з інвалідністю, а також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інші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категорій осіб (зокрема, ветеранів війни,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учасники бойових дій,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осіб, які постраждали внаслідок Чорнобильської катастрофи),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які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користуються послугою лазні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.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hd w:val="clear" w:fill="FFFFFF" w:color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hd w:val="clear" w:fill="FFFFFF" w:color="auto"/>
        </w:rPr>
        <w:t xml:space="preserve">Встановлення пільги на оплату послуги лазні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в розмірі 50% її вартості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для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вказаних категорій осіб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– є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</w:t>
      </w:r>
      <w:bookmarkStart w:id="7" w:name="_Hlk24646268"/>
      <w:r>
        <w:rPr>
          <w:rFonts w:ascii="Times New Roman" w:hAnsi="Times New Roman" w:eastAsia="Times New Roman"/>
          <w:sz w:val="28"/>
          <w:shd w:val="clear" w:fill="FFFFFF" w:color="auto"/>
        </w:rPr>
        <w:t xml:space="preserve">посиленням їх соціального захисту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,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підтримкою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цих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осіб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з метою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створення належних умов для підтримання здоров'я та активного довголіття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.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</w:t>
      </w:r>
      <w:bookmarkEnd w:id="7"/>
      <w:r>
        <w:rPr>
          <w:rFonts w:ascii="Times New Roman" w:hAnsi="Times New Roman" w:eastAsia="Times New Roman"/>
          <w:sz w:val="28"/>
          <w:shd w:val="clear" w:fill="FFFFFF" w:color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hd w:val="clear" w:fill="FFFFFF" w:color="auto"/>
        </w:rPr>
        <w:t xml:space="preserve"> </w:t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</w:r>
      <w:r/>
    </w:p>
    <w:p>
      <w:pPr>
        <w:ind w:left="0" w:right="0" w:firstLine="567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3. Мета Програми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3.1.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Метою Програми є </w:t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з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абезпечення додаткових до встановлених законодавством гарантій щодо соціального з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ахисту окремих категорій осіб, підтримки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 цих осіб з метою створення належних умов для підтримання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їх </w:t>
      </w:r>
      <w:r>
        <w:rPr>
          <w:rFonts w:ascii="Times New Roman" w:hAnsi="Times New Roman" w:eastAsia="Times New Roman"/>
          <w:sz w:val="28"/>
          <w:shd w:val="clear" w:fill="FFFFFF" w:color="auto"/>
        </w:rPr>
        <w:t xml:space="preserve">здоров'я та активного довголіття. </w:t>
      </w:r>
      <w:r>
        <w:rPr>
          <w:rFonts w:ascii="Times New Roman" w:hAnsi="Times New Roman" w:eastAsia="Times New Roman"/>
          <w:sz w:val="28"/>
          <w:shd w:val="clear" w:fill="FFFFFF" w:color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</w:r>
      <w:r/>
    </w:p>
    <w:p>
      <w:pPr>
        <w:ind w:left="567" w:right="0" w:firstLine="0"/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4. Завд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ання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Завдання Програми - 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адання послуги лазні за пільго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вими тарифами для окремих категорій осіб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 </w:t>
      </w:r>
      <w:bookmarkStart w:id="8" w:name="_Hlk24646385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забезпечення фінансової стабільності підприємства при наданні послуги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лазні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пільговими тарифами</w:t>
      </w:r>
      <w:bookmarkEnd w:id="8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Це можливо шляхом запровадження пільгового тарифу на послугу лазні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 окремих категорій осіб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відшкодування </w:t>
      </w:r>
      <w:bookmarkStart w:id="9" w:name="_Hlk24647862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втрат КП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«Менакомунпослуга» від надання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послуг лазні за пільговими тарифами </w:t>
      </w:r>
      <w:bookmarkEnd w:id="9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Є необхідність в прийнятті Програми, яка передбачає таке відшкодування.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Дія цієї Програми поширюється на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</w:r>
      <w:r/>
    </w:p>
    <w:p>
      <w:pPr>
        <w:pStyle w:val="697"/>
        <w:numPr>
          <w:ilvl w:val="0"/>
          <w:numId w:val="3"/>
        </w:numPr>
        <w:ind w:left="0" w:right="0" w:firstLine="567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енсіонерів;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97"/>
        <w:numPr>
          <w:ilvl w:val="0"/>
          <w:numId w:val="3"/>
        </w:numPr>
        <w:ind w:left="0" w:right="0" w:firstLine="567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сіб з інвалідністю;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97"/>
        <w:numPr>
          <w:ilvl w:val="0"/>
          <w:numId w:val="3"/>
        </w:numPr>
        <w:ind w:left="0" w:right="0" w:firstLine="567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ветеранів війни та учасників бойових дій;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97"/>
        <w:numPr>
          <w:ilvl w:val="0"/>
          <w:numId w:val="3"/>
        </w:numPr>
        <w:ind w:left="0" w:right="0" w:firstLine="567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осіб, які постраждали внаслідок Чорнобильської катастрофи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Строк виконання програми – 3 роки.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ind w:left="567" w:right="0" w:firstLine="0"/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5. Джерела та обсяги фінансування Програми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left="567" w:right="0" w:firstLine="0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5.1. Ресурсне забезпечення Програми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97"/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"/>
        <w:gridCol w:w="3290"/>
        <w:gridCol w:w="1748"/>
        <w:gridCol w:w="1748"/>
        <w:gridCol w:w="1749"/>
      </w:tblGrid>
      <w:tr>
        <w:trPr>
          <w:trHeight w:val="8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п/п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Назва підприємства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Обсяг коштів на виконання Програми на 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ік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(грн)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Обсяг коштів на виконання Програми на 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ік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(грн)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Обсяг коштів на виконання Програми на 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ік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(грн)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9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КП «Менакомунпослуга»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60 000,00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60 000,00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60 000,00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5.2. Протягом року обсяг фінансування Програми за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рахунок коштів бюджету Менської міської територіальної громади може змінюватись відповідно до рішення міської ради про внесення змін до бюджету на відповідний рік, виходячи з наявного фінансування ресурсу бюджету Менської міської  територіальної громади.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5.3. Головним розпорядником коштів за Програмою виступає Менська міська рада.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567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5.4. Одержувачем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коштів є КП «Менакомунпослуга».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567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567"/>
        <w:jc w:val="center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6.</w:t>
      </w:r>
      <w:r>
        <w:rPr>
          <w:rFonts w:ascii="Times New Roman" w:hAnsi="Times New Roman"/>
          <w:b/>
          <w:sz w:val="28"/>
          <w:szCs w:val="28"/>
        </w:rPr>
        <w:t xml:space="preserve"> Порядок надання пільг на оплату послуг лазні жителям населених пунктів  Менської міської </w:t>
      </w:r>
      <w:r>
        <w:rPr>
          <w:rFonts w:ascii="Times New Roman" w:hAnsi="Times New Roman"/>
          <w:b/>
          <w:sz w:val="28"/>
          <w:szCs w:val="28"/>
        </w:rPr>
        <w:t xml:space="preserve">територіальної громади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97"/>
        <w:ind w:left="0"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6.1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Порядок надання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пільги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оплату послуг лазні жителів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населених пунктів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визначається згідно затвердженого порядку.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567"/>
        <w:spacing w:lineRule="auto" w:line="240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ind w:left="0" w:right="0" w:firstLine="567"/>
        <w:jc w:val="center"/>
        <w:spacing w:lineRule="auto" w:line="240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 Порядок використання коштів бюджету, передбачених на реалізацію Програми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7.1.Кошти на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ідшкодування втрат КП «Менакомунпослуга» від надання послуг лазні за пільговими тарифами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можуть використовуватись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виключно на покриття (відшкодування) поточних витрат комунального підприємства, які виникають в процесі господарської діяльності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 утриманню міської лазні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напрямок якої відповідає меті і завданням цієї Програми, у разі якщо такі витрати не покриваються доходами підприємства.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Щомісячно до 05 числа КП «Менакомунпослуга» подає до Менської міської ради, відомість про кількість осіб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що скориста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лися послугою лазні за пільговим тарифом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 розрахунком сум відшкодування підприємству за надані послуги лазн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 жителям Менської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Менська міська рада після отримання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рахунків та відомостей від КП «Менакому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нпослуга» перевіряє розрахунки і здійснює відшкодування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втрат КП «Менакомунпослуга» від надання послуг лазні за пільговими тарифами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97"/>
        <w:ind w:left="0" w:right="0" w:firstLine="567"/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Очікувані результати від реалізації  Програми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8.1.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Виконання Програми 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дасть змогу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 посилити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 соціальний захист та підтримку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окремих категорій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осіб з метою створення належних умов для підтримання 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їх 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здоров'я та активного довголіття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, а також 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забезпечить фінансову стабільність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 підприємства при наданні послуги лазні за пільговими тарифами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</w:r>
      <w:r/>
    </w:p>
    <w:p>
      <w:pPr>
        <w:ind w:left="0" w:right="0" w:firstLine="567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</w:r>
      <w:r/>
    </w:p>
    <w:p>
      <w:pPr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</w:r>
      <w:r>
        <w:rPr>
          <w:rFonts w:ascii="Times New Roman" w:hAnsi="Times New Roman" w:eastAsia="Times New Roman"/>
          <w:color w:val="000000"/>
          <w:sz w:val="28"/>
          <w:shd w:val="clear" w:fill="FFFFFF" w:color="auto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житлово - комунального 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господарства, </w:t>
      </w:r>
      <w:r>
        <w:rPr>
          <w:rFonts w:ascii="Times New Roman" w:hAnsi="Times New Roman" w:cs="Times New Roman" w:eastAsia="Times New Roman"/>
          <w:sz w:val="28"/>
        </w:rPr>
        <w:t xml:space="preserve">енергоефективності та 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комунального майна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Менської міської ради </w:t>
        <w:tab/>
        <w:tab/>
        <w:tab/>
        <w:tab/>
        <w:tab/>
        <w:tab/>
        <w:tab/>
        <w:t xml:space="preserve">Валерій КРАВЦОВ</w:t>
      </w: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ind w:left="0" w:right="0" w:firstLine="3827"/>
      <w:jc w:val="center"/>
      <w:tabs>
        <w:tab w:val="left" w:pos="5561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  <w:i/>
      </w:rPr>
      <w:tab/>
      <w:t xml:space="preserve">Продовження додатка</w:t>
    </w:r>
    <w:r>
      <w:rPr>
        <w:rFonts w:ascii="Times New Roman" w:hAnsi="Times New Roman" w:cs="Times New Roman" w:eastAsia="Times New Roman"/>
        <w:i/>
      </w:rPr>
    </w:r>
    <w:r/>
  </w:p>
  <w:p>
    <w:pPr>
      <w:pStyle w:val="7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7"/>
    <w:next w:val="857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0">
    <w:name w:val="Heading 1 Char"/>
    <w:basedOn w:val="858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basedOn w:val="857"/>
    <w:next w:val="857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2">
    <w:name w:val="Heading 2 Char"/>
    <w:basedOn w:val="858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basedOn w:val="857"/>
    <w:next w:val="857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4">
    <w:name w:val="Heading 3 Char"/>
    <w:basedOn w:val="858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57"/>
    <w:next w:val="857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6">
    <w:name w:val="Heading 4 Char"/>
    <w:basedOn w:val="858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57"/>
    <w:next w:val="857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58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7"/>
    <w:next w:val="857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58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7"/>
    <w:next w:val="857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58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7"/>
    <w:next w:val="857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58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7"/>
    <w:next w:val="857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58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857"/>
    <w:qFormat/>
    <w:uiPriority w:val="34"/>
    <w:pPr>
      <w:contextualSpacing w:val="true"/>
      <w:ind w:left="720"/>
    </w:pPr>
  </w:style>
  <w:style w:type="paragraph" w:styleId="698">
    <w:name w:val="No Spacing"/>
    <w:qFormat/>
    <w:uiPriority w:val="1"/>
    <w:pPr>
      <w:spacing w:lineRule="auto" w:line="240" w:after="0" w:before="0"/>
    </w:pPr>
  </w:style>
  <w:style w:type="paragraph" w:styleId="699">
    <w:name w:val="Title"/>
    <w:basedOn w:val="857"/>
    <w:next w:val="857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8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8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Header Char"/>
    <w:basedOn w:val="858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Footer Char"/>
    <w:basedOn w:val="858"/>
    <w:link w:val="709"/>
    <w:uiPriority w:val="99"/>
  </w:style>
  <w:style w:type="paragraph" w:styleId="711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6</cp:revision>
  <dcterms:created xsi:type="dcterms:W3CDTF">2019-03-29T20:09:00Z</dcterms:created>
  <dcterms:modified xsi:type="dcterms:W3CDTF">2021-11-27T16:42:46Z</dcterms:modified>
</cp:coreProperties>
</file>