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/>
      <w:bookmarkStart w:id="0" w:name="_Toc503906852"/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16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16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16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16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16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16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23 листопада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№ </w:t>
      </w:r>
      <w:bookmarkEnd w:id="0"/>
      <w:r>
        <w:rPr>
          <w:sz w:val="28"/>
        </w:rPr>
        <w:t xml:space="preserve"> 368</w:t>
      </w:r>
      <w:r>
        <w:rPr>
          <w:sz w:val="28"/>
        </w:rPr>
      </w:r>
    </w:p>
    <w:p>
      <w:pPr>
        <w:pStyle w:val="816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eastAsia="Droid Sans"/>
          <w:b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Про погодження Програми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Відшкодування різниці в тарифах на поводження з побутовими відходами (перевезення та захоронення побутових відходів) на території Менської територіальної громади на 2022-2024 роки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ab/>
        <w:t xml:space="preserve">Керуючись статтею 52 Закону України «Про місцеве самоврядування в Україні», для забезпечення належного та своєчасно надання населенню громади послуг з поводження з побутовими відходами (перевезення та захоронення побутових відходів),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ru-RU" w:bidi="hi-IN" w:eastAsia="hi-IN"/>
        </w:rPr>
        <w:t xml:space="preserve">ВИРІШИЛА:</w:t>
      </w:r>
      <w:r/>
    </w:p>
    <w:p>
      <w:pPr>
        <w:numPr>
          <w:ilvl w:val="3"/>
          <w:numId w:val="0"/>
        </w:numPr>
        <w:ind w:left="0" w:right="-1" w:firstLine="567"/>
        <w:jc w:val="both"/>
        <w:keepNext/>
        <w:spacing w:lineRule="auto" w:line="240" w:after="0"/>
        <w:rPr>
          <w:rFonts w:ascii="Times New Roman" w:hAnsi="Times New Roman" w:eastAsia="Droid Sans"/>
          <w:sz w:val="28"/>
          <w:szCs w:val="28"/>
          <w:lang w:bidi="hi-IN" w:eastAsia="hi-IN"/>
        </w:rPr>
        <w:outlineLvl w:val="1"/>
      </w:pPr>
      <w:r>
        <w:rPr>
          <w:rFonts w:ascii="Times New Roman" w:hAnsi="Times New Roman" w:eastAsia="Droid Sans"/>
          <w:sz w:val="28"/>
          <w:szCs w:val="28"/>
          <w:lang w:val="ru-RU" w:bidi="hi-IN" w:eastAsia="hi-IN"/>
        </w:rPr>
        <w:t xml:space="preserve">1.Погодити  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проєкт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 Програми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Відшкодування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ізниці в тарифах на поводження з побутовими відходами (перевезення та захоронення побутових відходів) на терит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орії Менської територіальної громади на 2022-2024 роки»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згідно додатку до даного рішення (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додається).</w:t>
      </w:r>
      <w:r/>
    </w:p>
    <w:p>
      <w:pPr>
        <w:ind w:left="0" w:right="-1" w:firstLine="567"/>
        <w:jc w:val="both"/>
        <w:spacing w:lineRule="auto" w:line="240" w:after="0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2.Подати на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сесію Менської міської ради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кт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Програми «Відшкодування різниці в тарифах на поводження з побутовими відходами (перевезення та захоронення побутових відходів) на території Менської територіальної громади на 2022-2024 роки» для розгляду та затвердження. </w:t>
      </w:r>
      <w:r/>
    </w:p>
    <w:p>
      <w:pPr>
        <w:ind w:left="0" w:right="-1" w:firstLine="567"/>
        <w:jc w:val="both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В.І. Гнипа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tabs>
          <w:tab w:val="left" w:pos="6094" w:leader="none"/>
        </w:tabs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  <w:r/>
    </w:p>
    <w:p>
      <w:pPr>
        <w:tabs>
          <w:tab w:val="left" w:pos="65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59" w:after="1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Обычный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817">
    <w:name w:val="Balloon Text"/>
    <w:basedOn w:val="812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Текст выноски Знак"/>
    <w:basedOn w:val="813"/>
    <w:link w:val="817"/>
    <w:uiPriority w:val="99"/>
    <w:semiHidden/>
    <w:rPr>
      <w:rFonts w:ascii="Tahoma" w:hAnsi="Tahoma" w:cs="Tahoma" w:eastAsia="Calibri"/>
      <w:sz w:val="16"/>
      <w:szCs w:val="16"/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13</cp:revision>
  <dcterms:created xsi:type="dcterms:W3CDTF">2021-11-04T07:09:00Z</dcterms:created>
  <dcterms:modified xsi:type="dcterms:W3CDTF">2021-11-27T16:19:59Z</dcterms:modified>
</cp:coreProperties>
</file>