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Batang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descr="C:\Users\Usher\AppData\Local\Microsoft\Windows\INetCache\Content.MSO\3D013FC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Usher\AppData\Local\Microsoft\Windows\INetCache\Content.MSO\3D013FC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16"/>
          <w:szCs w:val="24"/>
          <w:lang w:eastAsia="uk-UA"/>
        </w:rPr>
      </w: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ВИКОНАВЧИЙ КОМІТЕТ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 РІШЕННЯ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№ 364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eastAsia="Batang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погодження  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дошкільної освіти Менської міської ради на 2022-2024 роки</w:t>
      </w:r>
      <w:r/>
    </w:p>
    <w:p>
      <w:pPr>
        <w:ind w:right="-141"/>
        <w:jc w:val="both"/>
        <w:spacing w:lineRule="auto" w:line="240" w:after="0"/>
        <w:tabs>
          <w:tab w:val="left" w:pos="4680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816"/>
        <w:ind w:right="-141"/>
        <w:jc w:val="both"/>
        <w:shd w:val="clear" w:fill="FFFFFF" w:color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fill="FFFFFF" w:color="auto"/>
        </w:rPr>
        <w:t xml:space="preserve">ям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 w:cs="Times New Roman" w:eastAsia="Batang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«Про внесення змін до деяких законів України щодо забезпечення безкоштовним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харчуванням дітей, один з батьків яких загинув (пропав безвісти), помер під час захисту незалежності та суверенітету України»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постанов Кабінету Міністрів України від 02.02.2011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№ 16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 № 305 «Про затвердження</w:t>
      </w:r>
      <w:r>
        <w:rPr>
          <w:rFonts w:ascii="Times New Roman" w:hAnsi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(зі змінами), наказу Міністерства освіти і науки України від 21.11.2002 № 667 «Про затвердження Порядку встановлення плати для батьків за перебування дітей у державних і ком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унальних дошкільних та інтернатних навчальних закладах» (зі змінами) та керуючись рішеннями дванадцятої сесії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восьмого скликання від 26.10.2021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 597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переведення закладів загальної середньої, дошкільної, позашкільної освіти,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міжшкільного навчально-виробничого комбінату та Комунальної установи «Менський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інклюзивно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-ресурсний це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тр» Менської міської ради Чернігівської області на умови самостійного ведення господарської діяльності та бухгалтерського обліку», № 596 «Про створення Комунальної установи «Центр з обслуговування освітніх установ та закладів освіти Менської міської ради»,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ст.27, 52 Закону України «Про місцеве самоврядування в Україні»,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виконавчий комітет </w:t>
      </w:r>
      <w:r>
        <w:rPr>
          <w:rFonts w:ascii="Times New Roman" w:hAnsi="Times New Roman"/>
          <w:sz w:val="28"/>
          <w:szCs w:val="28"/>
        </w:rPr>
        <w:t xml:space="preserve">Менської міської  ради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right="-141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1.Погодити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Програми організації харчування дітей в закладах дошкільної освіти Менської міської ради на 2022-2024 роки (далі Програма), що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 додається.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2.Подати на сесію міської ради проєкт даної Програми для розгляду.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рищепу</w:t>
      </w:r>
      <w:r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right="-141"/>
        <w:spacing w:lineRule="auto" w:line="240" w:after="0"/>
        <w:tabs>
          <w:tab w:val="left" w:pos="6661" w:leader="none"/>
        </w:tabs>
        <w:rPr>
          <w:rFonts w:ascii="Times New Roman" w:hAnsi="Times New Roman" w:eastAsia="Batang"/>
          <w:b w:val="false"/>
          <w:sz w:val="28"/>
          <w:szCs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Геннадій ПРИМАКОВ</w:t>
      </w:r>
      <w:r>
        <w:rPr>
          <w:b w:val="false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HTML Preformatted"/>
    <w:basedOn w:val="812"/>
    <w:link w:val="817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17" w:customStyle="1">
    <w:name w:val="Стандартний HTML Знак"/>
    <w:basedOn w:val="813"/>
    <w:link w:val="816"/>
    <w:uiPriority w:val="99"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СТАРОДУБ Людмила Олександрівна</cp:lastModifiedBy>
  <cp:revision>9</cp:revision>
  <dcterms:created xsi:type="dcterms:W3CDTF">2021-11-10T14:20:00Z</dcterms:created>
  <dcterms:modified xsi:type="dcterms:W3CDTF">2021-11-27T15:55:34Z</dcterms:modified>
</cp:coreProperties>
</file>