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Додаток </w:t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до рішення виконавчого комітету Менської міської ради </w:t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23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листопада 2021 року № 364</w:t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ПРОЄКТ  ПРОГРАМИ </w:t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організації харчування дітей у закладах дошкільної осві</w:t>
      </w: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ти Менської міської ради на 2022-2024</w:t>
      </w: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 роки</w:t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м.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Мена </w:t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2021 рік</w:t>
      </w:r>
      <w:r/>
    </w:p>
    <w:p>
      <w:pPr>
        <w:ind w:right="-141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br w:type="page"/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. ПАСПОРТ ПРОГРАМИ</w:t>
      </w:r>
      <w:r/>
    </w:p>
    <w:tbl>
      <w:tblPr>
        <w:tblW w:w="9904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25"/>
        <w:gridCol w:w="1877"/>
        <w:gridCol w:w="1862"/>
        <w:gridCol w:w="1864"/>
      </w:tblGrid>
      <w:tr>
        <w:trPr>
          <w:jc w:val="center"/>
        </w:trPr>
        <w:tc>
          <w:tcPr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 Програми</w:t>
            </w:r>
            <w:r/>
          </w:p>
        </w:tc>
        <w:tc>
          <w:tcPr>
            <w:gridSpan w:val="3"/>
            <w:tcW w:w="5603" w:type="dxa"/>
            <w:vAlign w:val="center"/>
            <w:textDirection w:val="lrTb"/>
            <w:noWrap w:val="false"/>
          </w:tcPr>
          <w:p>
            <w:pPr>
              <w:ind w:left="0" w:right="1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Програма організації харчування у закладах дошкільної освіти Менської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міської ради на 2022-2024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роки</w:t>
            </w:r>
            <w:r/>
          </w:p>
        </w:tc>
      </w:tr>
      <w:tr>
        <w:trPr>
          <w:jc w:val="center"/>
        </w:trPr>
        <w:tc>
          <w:tcPr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/>
          </w:p>
        </w:tc>
        <w:tc>
          <w:tcPr>
            <w:gridSpan w:val="3"/>
            <w:tcW w:w="5603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  <w:trHeight w:val="4668"/>
        </w:trPr>
        <w:tc>
          <w:tcPr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Підстави для розробки Програми</w:t>
            </w:r>
            <w:r/>
          </w:p>
        </w:tc>
        <w:tc>
          <w:tcPr>
            <w:gridSpan w:val="3"/>
            <w:tcW w:w="5603" w:type="dxa"/>
            <w:textDirection w:val="lrTb"/>
            <w:noWrap w:val="false"/>
          </w:tcPr>
          <w:p>
            <w:pPr>
              <w:pStyle w:val="947"/>
              <w:ind w:firstLine="0"/>
              <w:jc w:val="both"/>
              <w:spacing w:after="150" w:afterAutospacing="0" w:before="0" w:beforeAutospacing="0"/>
              <w:shd w:val="clear" w:fill="FFFFFF" w:color="auto"/>
              <w:rPr>
                <w:rFonts w:eastAsia="Batang"/>
                <w:sz w:val="28"/>
                <w:szCs w:val="28"/>
                <w:lang w:eastAsia="ru-RU"/>
              </w:rPr>
            </w:pPr>
            <w:r>
              <w:rPr>
                <w:rFonts w:eastAsia="Batang"/>
                <w:sz w:val="28"/>
                <w:szCs w:val="28"/>
                <w:lang w:eastAsia="ru-RU"/>
              </w:rPr>
              <w:t xml:space="preserve">Закони України «Про освіту», «Про дошкільну освіту», «Про охорону дитинства»,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«</w:t>
            </w:r>
            <w:r>
              <w:rPr>
                <w:bCs/>
                <w:sz w:val="28"/>
                <w:szCs w:val="28"/>
                <w:shd w:val="clear" w:fill="FFFFFF" w:color="auto"/>
              </w:rPr>
              <w:t xml:space="preserve">Про</w:t>
            </w:r>
            <w:r>
              <w:rPr>
                <w:bCs/>
                <w:color w:val="000000" w:themeColor="text1"/>
                <w:sz w:val="28"/>
                <w:szCs w:val="28"/>
                <w:shd w:val="clear" w:fill="FFFFFF" w:color="auto"/>
              </w:rPr>
              <w:t xml:space="preserve"> державну соціальну допомогу малозабезпеченим сім’ям»,</w:t>
            </w:r>
            <w:r>
              <w:rPr>
                <w:color w:val="000000" w:themeColor="text1"/>
                <w:sz w:val="28"/>
                <w:szCs w:val="28"/>
              </w:rPr>
              <w:t xml:space="preserve"> 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«</w:t>
            </w:r>
            <w:r>
              <w:rPr>
                <w:color w:val="000000" w:themeColor="text1"/>
                <w:sz w:val="28"/>
                <w:szCs w:val="28"/>
              </w:rPr>
              <w:t xml:space="preserve">Про статус і соціальний захист громадян, які постраждали внасл</w:t>
            </w:r>
            <w:r>
              <w:rPr>
                <w:color w:val="000000" w:themeColor="text1"/>
                <w:sz w:val="28"/>
                <w:szCs w:val="28"/>
              </w:rPr>
              <w:t xml:space="preserve">ідок Чорнобильської катастрофи</w:t>
            </w:r>
            <w:r>
              <w:rPr>
                <w:bCs/>
                <w:color w:val="000000" w:themeColor="text1"/>
                <w:sz w:val="28"/>
                <w:szCs w:val="28"/>
                <w:shd w:val="clear" w:fill="FFFFFF" w:color="auto"/>
              </w:rPr>
              <w:t xml:space="preserve">»</w:t>
            </w:r>
            <w:r>
              <w:rPr>
                <w:color w:val="000000" w:themeColor="text1"/>
                <w:sz w:val="28"/>
                <w:szCs w:val="28"/>
              </w:rPr>
              <w:t xml:space="preserve"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«</w:t>
            </w:r>
            <w:r>
              <w:rPr>
                <w:color w:val="000000" w:themeColor="text1"/>
                <w:sz w:val="28"/>
                <w:szCs w:val="28"/>
              </w:rPr>
              <w:t xml:space="preserve">Про статус ветеранів війни, г</w:t>
            </w:r>
            <w:r>
              <w:rPr>
                <w:color w:val="000000" w:themeColor="text1"/>
                <w:sz w:val="28"/>
                <w:szCs w:val="28"/>
              </w:rPr>
              <w:t xml:space="preserve">арантії їх соціального захисту</w:t>
            </w:r>
            <w:r>
              <w:rPr>
                <w:bCs/>
                <w:color w:val="000000" w:themeColor="text1"/>
                <w:sz w:val="28"/>
                <w:szCs w:val="28"/>
                <w:shd w:val="clear" w:fill="FFFFFF" w:color="auto"/>
              </w:rPr>
              <w:t xml:space="preserve">»</w:t>
            </w:r>
            <w:r>
              <w:rPr>
                <w:color w:val="000000" w:themeColor="text1"/>
                <w:sz w:val="28"/>
                <w:szCs w:val="28"/>
              </w:rPr>
              <w:t xml:space="preserve">,</w:t>
            </w:r>
            <w:r>
              <w:rPr>
                <w:rFonts w:eastAsia="Batang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Batang"/>
                <w:color w:val="000000" w:themeColor="text1"/>
                <w:sz w:val="28"/>
                <w:szCs w:val="28"/>
                <w:lang w:eastAsia="ru-RU"/>
              </w:rPr>
              <w:t xml:space="preserve">«Про внесення змін до деяких Законів Укр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аїни щодо забезпечення безкоштовним харчуванням дітей внутрішньо переміщених осіб» від 16.01.2020 №474-І</w:t>
            </w:r>
            <w:r>
              <w:rPr>
                <w:rFonts w:eastAsia="Batang"/>
                <w:sz w:val="28"/>
                <w:szCs w:val="28"/>
                <w:lang w:val="en-US" w:eastAsia="ru-RU"/>
              </w:rPr>
              <w:t xml:space="preserve">X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, «Про внесення змін до деяких законів України щодо забезпечення безкоштовним харчуванням дітей, один з батьків яких загинув (пропав безвісти), помер під час захисту незалежності та суверенітету України» від 05.11.2020 № 978-І</w:t>
            </w:r>
            <w:r>
              <w:rPr>
                <w:rFonts w:eastAsia="Batang"/>
                <w:sz w:val="28"/>
                <w:szCs w:val="28"/>
                <w:lang w:val="en-US" w:eastAsia="ru-RU"/>
              </w:rPr>
              <w:t xml:space="preserve">X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Batang"/>
                <w:color w:val="000000" w:themeColor="text1"/>
                <w:sz w:val="28"/>
                <w:szCs w:val="28"/>
                <w:lang w:eastAsia="ru-RU"/>
              </w:rPr>
              <w:t xml:space="preserve">«Про місцеве самоврядування в Україні,</w:t>
            </w:r>
            <w:r>
              <w:rPr>
                <w:rFonts w:eastAsia="Batang"/>
                <w:color w:val="76923C" w:themeColor="accent3" w:themeShade="BF"/>
                <w:sz w:val="28"/>
                <w:szCs w:val="28"/>
                <w:shd w:val="clear" w:fill="FFFFFF" w:color="auto"/>
                <w:lang w:eastAsia="ru-RU"/>
              </w:rPr>
              <w:t xml:space="preserve"> </w:t>
            </w:r>
            <w:r>
              <w:rPr>
                <w:rFonts w:eastAsia="Batang"/>
                <w:color w:val="auto"/>
                <w:sz w:val="28"/>
                <w:szCs w:val="28"/>
                <w:shd w:val="clear" w:fill="FFFFFF" w:color="auto"/>
                <w:lang w:eastAsia="ru-RU"/>
              </w:rPr>
              <w:t xml:space="preserve">п</w:t>
            </w:r>
            <w:r>
              <w:rPr>
                <w:rFonts w:eastAsia="Batang"/>
                <w:color w:val="000000" w:themeColor="text1"/>
                <w:sz w:val="28"/>
                <w:szCs w:val="28"/>
                <w:lang w:eastAsia="ru-RU"/>
              </w:rPr>
              <w:t xml:space="preserve">останови Кабінету Міністрів Укра</w:t>
            </w:r>
            <w:r>
              <w:rPr>
                <w:rFonts w:eastAsia="Batang"/>
                <w:color w:val="000000" w:themeColor="text1"/>
                <w:sz w:val="28"/>
                <w:szCs w:val="28"/>
                <w:lang w:eastAsia="ru-RU"/>
              </w:rPr>
              <w:t xml:space="preserve">їни від 02.02.2011 №116 «Про затвердження Порядку надання послуг з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вартість», від </w:t>
            </w:r>
            <w:r>
              <w:rPr>
                <w:sz w:val="28"/>
                <w:szCs w:val="28"/>
              </w:rPr>
              <w:t xml:space="preserve"> 24.03.2021 № 305 «Про затвердження норм та Порядку організації харчування у закладах освіти та дитячих закладах оздоровлення та відпочинку» (зі змінами</w:t>
            </w:r>
            <w:r>
              <w:rPr>
                <w:sz w:val="28"/>
                <w:szCs w:val="28"/>
              </w:rPr>
              <w:t xml:space="preserve">)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, від 18.01.2016  № 16 «Про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вартість»,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 наказ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інтернатних навчальних закладах» (зі змінами), 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рішення дванадцятої сесії 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Менської міської ради 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восьмо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го скликання  № 597 від 26.10.2021 року «Про переведення закладів загальної середньої, дошкільної, позашкільної освіти, Степанівського міжшкільного навчально-виробничого комбінату та Комунальної установи «Менський інклюзивно-ресурсний ц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ентр» Менської міської ради Чернігівської області на умови самостійного ведення господарської діяльності та бухгалтерського обліку», №596 «Про створення Комунальної установи «Центр з обслуговування освітніх установ та закладів освіти Менської міської ради»</w:t>
            </w:r>
            <w:r/>
          </w:p>
        </w:tc>
      </w:tr>
      <w:tr>
        <w:trPr>
          <w:jc w:val="center"/>
        </w:trPr>
        <w:tc>
          <w:tcPr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Розробник Програми</w:t>
            </w:r>
            <w:r/>
          </w:p>
        </w:tc>
        <w:tc>
          <w:tcPr>
            <w:gridSpan w:val="3"/>
            <w:tcW w:w="5603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</w:trPr>
        <w:tc>
          <w:tcPr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/>
          </w:p>
        </w:tc>
        <w:tc>
          <w:tcPr>
            <w:gridSpan w:val="3"/>
            <w:tcW w:w="5603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  <w:trHeight w:val="274"/>
        </w:trPr>
        <w:tc>
          <w:tcPr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Учасники Програми</w:t>
            </w:r>
            <w:r/>
          </w:p>
        </w:tc>
        <w:tc>
          <w:tcPr>
            <w:gridSpan w:val="3"/>
            <w:tcW w:w="5603" w:type="dxa"/>
            <w:vAlign w:val="bottom"/>
            <w:textDirection w:val="lrTb"/>
            <w:noWrap w:val="false"/>
          </w:tcPr>
          <w:p>
            <w:pPr>
              <w:ind w:left="0" w:right="1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ради, заклади дошкільної освіти, фінансове управління Менської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Комунальна установа «Центр з обслуговування освітніх установ та закладів освіти»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  <w:tr>
        <w:trPr>
          <w:jc w:val="center"/>
          <w:trHeight w:val="842"/>
        </w:trPr>
        <w:tc>
          <w:tcPr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Дія Програми</w:t>
            </w:r>
            <w:r/>
          </w:p>
        </w:tc>
        <w:tc>
          <w:tcPr>
            <w:gridSpan w:val="3"/>
            <w:tcW w:w="5603" w:type="dxa"/>
            <w:vAlign w:val="bottom"/>
            <w:textDirection w:val="lrTb"/>
            <w:noWrap w:val="false"/>
          </w:tcPr>
          <w:p>
            <w:pPr>
              <w:ind w:left="0" w:right="1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Дія Програми поширюється на територію 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 Менської міської 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територіальної громади</w:t>
            </w:r>
            <w:r/>
          </w:p>
        </w:tc>
      </w:tr>
      <w:tr>
        <w:trPr>
          <w:jc w:val="center"/>
          <w:trHeight w:val="379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W w:w="3525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реалізації Програми</w:t>
            </w:r>
            <w:r/>
          </w:p>
        </w:tc>
        <w:tc>
          <w:tcPr>
            <w:gridSpan w:val="3"/>
            <w:tcW w:w="5603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роки</w:t>
            </w:r>
            <w:r/>
          </w:p>
        </w:tc>
      </w:tr>
      <w:tr>
        <w:trPr>
          <w:jc w:val="center"/>
          <w:trHeight w:val="379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</w:t>
            </w:r>
            <w:r/>
          </w:p>
        </w:tc>
        <w:tc>
          <w:tcPr>
            <w:tcW w:w="3525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Джерела фінансування</w:t>
            </w:r>
            <w:r/>
          </w:p>
        </w:tc>
        <w:tc>
          <w:tcPr>
            <w:gridSpan w:val="3"/>
            <w:tcW w:w="5603" w:type="dxa"/>
            <w:textDirection w:val="lrTb"/>
            <w:noWrap w:val="false"/>
          </w:tcPr>
          <w:p>
            <w:pPr>
              <w:ind w:left="0" w:right="1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Менської міської територіальної громади, інші джерела фінансування, не заборонені законодавством України</w:t>
            </w:r>
            <w:r/>
          </w:p>
        </w:tc>
      </w:tr>
      <w:tr>
        <w:trPr>
          <w:jc w:val="center"/>
          <w:trHeight w:val="379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Обсяги фінансування:</w:t>
            </w:r>
            <w:r/>
          </w:p>
        </w:tc>
        <w:tc>
          <w:tcPr>
            <w:gridSpan w:val="3"/>
            <w:tcW w:w="5603" w:type="dxa"/>
            <w:textDirection w:val="lrTb"/>
            <w:noWrap w:val="false"/>
          </w:tcPr>
          <w:p>
            <w:pPr>
              <w:ind w:left="0" w:right="1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10.1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Загальний орієнтовний обсяг фінансових ресурсів, необхідних для реалізації програми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2022-2024 роки</w:t>
            </w:r>
            <w:r/>
          </w:p>
        </w:tc>
        <w:tc>
          <w:tcPr>
            <w:tcW w:w="1877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2022 рік (грн)</w:t>
            </w:r>
            <w:r>
              <w:rPr>
                <w:color w:val="auto"/>
              </w:rPr>
            </w:r>
            <w:r/>
          </w:p>
        </w:tc>
        <w:tc>
          <w:tcPr>
            <w:tcW w:w="1862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2023 рік (грн)</w:t>
            </w:r>
            <w:r>
              <w:rPr>
                <w:color w:val="auto"/>
              </w:rPr>
            </w:r>
            <w:r/>
          </w:p>
        </w:tc>
        <w:tc>
          <w:tcPr>
            <w:tcW w:w="1864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2024 рік (грн)</w:t>
            </w:r>
            <w:r>
              <w:rPr>
                <w:color w:val="auto"/>
              </w:rPr>
            </w:r>
            <w:r/>
          </w:p>
        </w:tc>
      </w:tr>
      <w:tr>
        <w:trPr>
          <w:jc w:val="center"/>
          <w:trHeight w:val="1615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.2.</w:t>
            </w:r>
            <w:r/>
          </w:p>
        </w:tc>
        <w:tc>
          <w:tcPr>
            <w:tcW w:w="3525" w:type="dxa"/>
            <w:vAlign w:val="center"/>
            <w:textDirection w:val="lrTb"/>
            <w:noWrap w:val="false"/>
          </w:tcPr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Загальний орієнтовний обсяг фінансових ресурсів, необхідних для реалізації Програми, всього:</w:t>
            </w:r>
            <w:r/>
          </w:p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тому числі:</w:t>
            </w:r>
            <w:r/>
          </w:p>
        </w:tc>
        <w:tc>
          <w:tcPr>
            <w:tcW w:w="1877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3 778 706,00</w:t>
            </w:r>
            <w:r/>
          </w:p>
        </w:tc>
        <w:tc>
          <w:tcPr>
            <w:tcW w:w="1862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4 244 792,00</w:t>
            </w:r>
            <w:r/>
          </w:p>
        </w:tc>
        <w:tc>
          <w:tcPr>
            <w:tcW w:w="1864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4 710 887, 00</w:t>
            </w:r>
            <w:r/>
          </w:p>
        </w:tc>
      </w:tr>
      <w:tr>
        <w:trPr>
          <w:jc w:val="center"/>
          <w:trHeight w:val="655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.3.</w:t>
            </w:r>
            <w:r/>
          </w:p>
        </w:tc>
        <w:tc>
          <w:tcPr>
            <w:tcW w:w="3525" w:type="dxa"/>
            <w:textDirection w:val="lrTb"/>
            <w:noWrap w:val="false"/>
          </w:tcPr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кошти бюджету Менської міської ТГ</w:t>
            </w:r>
            <w:r/>
          </w:p>
        </w:tc>
        <w:tc>
          <w:tcPr>
            <w:tcW w:w="1877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2 088 072,00</w:t>
            </w:r>
            <w:r/>
          </w:p>
        </w:tc>
        <w:tc>
          <w:tcPr>
            <w:tcW w:w="1862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2 349 081,00</w:t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2 610 096,00</w:t>
            </w:r>
            <w:r/>
          </w:p>
        </w:tc>
      </w:tr>
      <w:tr>
        <w:trPr>
          <w:jc w:val="center"/>
          <w:trHeight w:val="2590"/>
        </w:trPr>
        <w:tc>
          <w:tcPr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.4.</w:t>
            </w:r>
            <w:r/>
          </w:p>
        </w:tc>
        <w:tc>
          <w:tcPr>
            <w:tcW w:w="3525" w:type="dxa"/>
            <w:textDirection w:val="lrTb"/>
            <w:noWrap w:val="false"/>
          </w:tcPr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кошти спеціального фонду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плата за послуги, що надаються бюджетними установами згідно з їх основною діяльністю,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спонсорські кошти, надходження благодійних внесків від батьків в натуральній формі, кошти інших джерел, не заборонених законодавством)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</w:t>
            </w:r>
            <w:r/>
          </w:p>
        </w:tc>
        <w:tc>
          <w:tcPr>
            <w:tcW w:w="1877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1 690 634,00</w:t>
            </w:r>
            <w:r/>
          </w:p>
        </w:tc>
        <w:tc>
          <w:tcPr>
            <w:tcW w:w="1862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1 895 711,00 </w:t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2 100 791,00</w:t>
            </w:r>
            <w:r/>
          </w:p>
        </w:tc>
      </w:tr>
    </w:tbl>
    <w:p>
      <w:pPr>
        <w:ind w:right="-141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938"/>
        <w:ind w:left="0" w:right="-141"/>
        <w:jc w:val="both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  <w:t xml:space="preserve">*У разі сплати за харчування  коштами спеціального фонду (батьківськ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а плата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за харчування дітей в ЗДО становить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50%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від вартості дітодня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) - в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артість дітодня в 2022 ро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ці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становить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–40 грн в день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на одну дитину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, у 2023 році – 4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5 грн, у 2024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році – 50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грн.</w:t>
      </w:r>
      <w:r/>
    </w:p>
    <w:p>
      <w:pPr>
        <w:ind w:right="-141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ind w:right="-141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ЗАГАЛЬНІ ПОЛОЖЕННЯ ПРОГРАМИ</w:t>
      </w:r>
      <w:r/>
    </w:p>
    <w:p>
      <w:pPr>
        <w:ind w:firstLine="708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color w:val="auto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auto"/>
          <w:sz w:val="28"/>
          <w:szCs w:val="28"/>
          <w:lang w:eastAsia="uk-UA"/>
        </w:rPr>
        <w:t xml:space="preserve">Найважливішими компонентами розвитку особистості дитини є її фізичне, психічне та духовне здоров’я, стан якого визначаєтьс</w:t>
      </w:r>
      <w:r>
        <w:rPr>
          <w:rFonts w:ascii="Times New Roman" w:hAnsi="Times New Roman" w:eastAsia="Times New Roman"/>
          <w:color w:val="auto"/>
          <w:sz w:val="28"/>
          <w:szCs w:val="28"/>
          <w:lang w:eastAsia="uk-UA"/>
        </w:rPr>
        <w:t xml:space="preserve">я впливом на нього усього комплексу 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та виховання.</w:t>
      </w:r>
      <w:r>
        <w:rPr>
          <w:color w:val="auto"/>
        </w:rPr>
      </w:r>
      <w:r/>
    </w:p>
    <w:p>
      <w:pPr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color w:val="auto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auto"/>
          <w:sz w:val="28"/>
          <w:szCs w:val="28"/>
          <w:lang w:eastAsia="uk-UA"/>
        </w:rPr>
        <w:t xml:space="preserve">Одним із основних факторів впливу на здоров’я дітей є повноцінне і раціональне харчування.</w:t>
      </w:r>
      <w:r>
        <w:rPr>
          <w:color w:val="auto"/>
        </w:rPr>
      </w:r>
      <w:r/>
    </w:p>
    <w:p>
      <w:pPr>
        <w:ind w:firstLine="708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color w:val="auto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auto"/>
          <w:sz w:val="28"/>
          <w:szCs w:val="28"/>
          <w:lang w:eastAsia="uk-UA"/>
        </w:rPr>
        <w:t xml:space="preserve">Станом на 01 листопада 2021</w:t>
      </w:r>
      <w:r>
        <w:rPr>
          <w:rFonts w:ascii="Times New Roman" w:hAnsi="Times New Roman" w:eastAsia="Times New Roman"/>
          <w:color w:val="auto"/>
          <w:sz w:val="28"/>
          <w:szCs w:val="28"/>
          <w:lang w:eastAsia="uk-UA"/>
        </w:rPr>
        <w:t xml:space="preserve"> року на території </w:t>
      </w:r>
      <w:r>
        <w:rPr>
          <w:rFonts w:ascii="Times New Roman" w:hAnsi="Times New Roman" w:eastAsia="Times New Roman"/>
          <w:color w:val="auto"/>
          <w:sz w:val="28"/>
          <w:szCs w:val="28"/>
          <w:lang w:eastAsia="uk-UA"/>
        </w:rPr>
        <w:t xml:space="preserve">Менської ТГ функціонують 16 закладів</w:t>
      </w:r>
      <w:r>
        <w:rPr>
          <w:rFonts w:ascii="Times New Roman" w:hAnsi="Times New Roman" w:eastAsia="Times New Roman"/>
          <w:color w:val="auto"/>
          <w:sz w:val="28"/>
          <w:szCs w:val="28"/>
          <w:lang w:eastAsia="uk-UA"/>
        </w:rPr>
        <w:t xml:space="preserve"> дошкільно</w:t>
      </w:r>
      <w:r>
        <w:rPr>
          <w:rFonts w:ascii="Times New Roman" w:hAnsi="Times New Roman" w:eastAsia="Times New Roman"/>
          <w:color w:val="auto"/>
          <w:sz w:val="28"/>
          <w:szCs w:val="28"/>
          <w:lang w:eastAsia="uk-UA"/>
        </w:rPr>
        <w:t xml:space="preserve">ї освіти, в яких виховується 596</w:t>
      </w:r>
      <w:r>
        <w:rPr>
          <w:rFonts w:ascii="Times New Roman" w:hAnsi="Times New Roman" w:eastAsia="Times New Roman"/>
          <w:color w:val="auto"/>
          <w:sz w:val="28"/>
          <w:szCs w:val="28"/>
          <w:lang w:eastAsia="uk-UA"/>
        </w:rPr>
        <w:t xml:space="preserve"> дітей</w:t>
      </w:r>
      <w:r>
        <w:rPr>
          <w:rFonts w:ascii="Times New Roman" w:hAnsi="Times New Roman" w:eastAsia="Times New Roman"/>
          <w:color w:val="auto"/>
          <w:sz w:val="28"/>
          <w:szCs w:val="28"/>
          <w:lang w:eastAsia="uk-UA"/>
        </w:rPr>
        <w:t xml:space="preserve">.</w:t>
      </w:r>
      <w:r>
        <w:rPr>
          <w:color w:val="auto"/>
        </w:rPr>
      </w:r>
      <w:r/>
    </w:p>
    <w:p>
      <w:pPr>
        <w:ind w:right="-141" w:firstLine="708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 01 січня 2021 року згідно рішення другої сесії Менської міської ради восьмого скл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икання від 23 грудня 2020 року №29 «Про внесення до Програми організації харчування дітей в закладах дошкільної освіти Менської міської ради на 2020- 2022 роки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вартість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харчування на одну дитину в день з урахуванням підвищення цін на продукти харчування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становила 30 грн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умови батьківської плати за харчування дитини в закладах дошкільної освіти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12 грн в день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40 відсотків від вартості харчування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одну дитину в день)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</w:rPr>
      </w:r>
      <w:r/>
    </w:p>
    <w:p>
      <w:pPr>
        <w:ind w:right="-141"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Постановою Кабінету Міністрів України від 24 березня 2021 року №305 «Про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затвердження норм та Порядку організації харчування у закладах освіти та дитячих закладах оздоровлення та відпочинку» (зі змінами)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суттєво змінено 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</w:rPr>
        <w:t xml:space="preserve">принципи планування та механізм організації харчування здобувачів освіти/дітей у закладах дошкільної освіти,</w:t>
      </w:r>
      <w:r>
        <w:rPr>
          <w:color w:val="000000" w:themeColor="text1"/>
          <w:shd w:val="clear" w:fill="FFFFFF" w:color="auto"/>
        </w:rPr>
        <w:t xml:space="preserve">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передбачено забезпечення більш збалансованого харчування,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що вплинуло на формування 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</w:rPr>
        <w:t xml:space="preserve">примірного чотиритижневого сезонного меню - документ, що міст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</w:rPr>
        <w:t xml:space="preserve">ить набір страв, вихід (масу) їх порцій для різних вікових груп, враховує особливі дієтичні потреби здобувачів освіти/дітей (у разі наявності), сезонність (осінь, зима, весна, літо) та потребує збільшення грошових норм харчування на 1 дитину в день. Згідно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рішення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дев’ятої сесії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 міської ради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восьмого скликання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 31 серпня 2021 року № 483 «Про внесення змін до Програми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організації харчування дітей в закладах дошкільної освіти Менської міської ради на 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2022 роки»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 01 вересня 2021 року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вартість харчування на одну дитину в день з урахуванням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підвищення цін на продукти харчування становить 35 грн за умови батьківської плати за харчування дитини в закладах дошкільної освіти 14 грн в день (40 відсотків від вартості харчування на одну дитину в день). </w:t>
      </w:r>
      <w:r>
        <w:rPr>
          <w:color w:val="000000" w:themeColor="text1"/>
        </w:rPr>
      </w:r>
      <w:r/>
    </w:p>
    <w:p>
      <w:pPr>
        <w:ind w:right="-141" w:firstLine="708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</w:r>
      <w:r>
        <w:rPr>
          <w:color w:val="000000" w:themeColor="text1"/>
        </w:rPr>
      </w:r>
      <w:r/>
    </w:p>
    <w:p>
      <w:pPr>
        <w:pStyle w:val="94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b/>
          <w:color w:val="000000" w:themeColor="text1"/>
          <w:sz w:val="28"/>
          <w:szCs w:val="28"/>
        </w:rPr>
        <w:t xml:space="preserve">Безоплатним гарячим харчуванням </w:t>
      </w:r>
      <w:r>
        <w:rPr>
          <w:color w:val="000000" w:themeColor="text1"/>
          <w:sz w:val="28"/>
          <w:szCs w:val="28"/>
          <w:shd w:val="clear" w:fill="FFFFFF" w:color="auto"/>
        </w:rPr>
        <w:t xml:space="preserve">за рахунок коштів місцевого бюджету відповідно до встановленого в закладі освіти режиму (кратності) харчування </w:t>
      </w:r>
      <w:r>
        <w:rPr>
          <w:color w:val="000000" w:themeColor="text1"/>
          <w:sz w:val="28"/>
          <w:szCs w:val="28"/>
          <w:shd w:val="clear" w:fill="FFFFFF" w:color="auto"/>
        </w:rPr>
        <w:t xml:space="preserve">забезпечуються вихованці</w:t>
      </w:r>
      <w:r>
        <w:rPr>
          <w:color w:val="000000" w:themeColor="text1"/>
          <w:sz w:val="28"/>
          <w:szCs w:val="28"/>
          <w:shd w:val="clear" w:fill="FFFFFF" w:color="auto"/>
        </w:rPr>
        <w:t xml:space="preserve"> закладу </w:t>
      </w:r>
      <w:r>
        <w:rPr>
          <w:color w:val="000000" w:themeColor="text1"/>
          <w:sz w:val="28"/>
          <w:szCs w:val="28"/>
          <w:shd w:val="clear" w:fill="FFFFFF" w:color="auto"/>
        </w:rPr>
        <w:t xml:space="preserve">освіти</w:t>
      </w:r>
      <w:r>
        <w:rPr>
          <w:color w:val="000000" w:themeColor="text1"/>
          <w:sz w:val="28"/>
          <w:szCs w:val="28"/>
        </w:rPr>
        <w:t xml:space="preserve"> з числа: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</w:r>
      <w:r/>
    </w:p>
    <w:p>
      <w:pPr>
        <w:pStyle w:val="94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дітей</w:t>
      </w:r>
      <w:r>
        <w:rPr>
          <w:color w:val="000000" w:themeColor="text1"/>
          <w:sz w:val="28"/>
          <w:szCs w:val="28"/>
        </w:rPr>
        <w:t xml:space="preserve">-сиріт;</w:t>
      </w:r>
      <w:r>
        <w:rPr>
          <w:color w:val="000000" w:themeColor="text1"/>
        </w:rPr>
      </w:r>
      <w:r/>
    </w:p>
    <w:p>
      <w:pPr>
        <w:pStyle w:val="94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дітей, позбавлених</w:t>
      </w:r>
      <w:r>
        <w:rPr>
          <w:color w:val="000000" w:themeColor="text1"/>
          <w:sz w:val="28"/>
          <w:szCs w:val="28"/>
        </w:rPr>
        <w:t xml:space="preserve"> батьківського піклування;</w:t>
      </w:r>
      <w:r>
        <w:rPr>
          <w:color w:val="000000" w:themeColor="text1"/>
        </w:rPr>
      </w:r>
      <w:r/>
    </w:p>
    <w:p>
      <w:pPr>
        <w:pStyle w:val="94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дітей</w:t>
      </w:r>
      <w:r>
        <w:rPr>
          <w:color w:val="000000" w:themeColor="text1"/>
          <w:sz w:val="28"/>
          <w:szCs w:val="28"/>
        </w:rPr>
        <w:t xml:space="preserve"> з особливими освітніми потребами, які навчаються у спеціальних та інклюзивних класах (групах);</w:t>
      </w:r>
      <w:r>
        <w:rPr>
          <w:color w:val="000000" w:themeColor="text1"/>
        </w:rPr>
      </w:r>
      <w:r/>
    </w:p>
    <w:p>
      <w:pPr>
        <w:pStyle w:val="94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дітей</w:t>
      </w:r>
      <w:r>
        <w:rPr>
          <w:color w:val="000000" w:themeColor="text1"/>
          <w:sz w:val="28"/>
          <w:szCs w:val="28"/>
        </w:rPr>
        <w:t xml:space="preserve"> із сімей, які отримують допомогу відповідно до </w:t>
      </w:r>
      <w:hyperlink r:id="rId14" w:tooltip="https://zakon.rada.gov.ua/laws/show/1768-14" w:history="1">
        <w:r>
          <w:rPr>
            <w:rStyle w:val="918"/>
            <w:rFonts w:eastAsia="Arial"/>
            <w:color w:val="000000" w:themeColor="text1"/>
            <w:sz w:val="28"/>
            <w:szCs w:val="28"/>
            <w:u w:val="none"/>
          </w:rPr>
          <w:t xml:space="preserve">Закону України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 xml:space="preserve">Про державну соціальну допомогу малозабезпеченим сім’ям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  <w:r/>
    </w:p>
    <w:p>
      <w:pPr>
        <w:pStyle w:val="94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учні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закладів освіти, розташованих на територіях радіоактивного забруднення, а</w:t>
      </w:r>
      <w:r>
        <w:rPr>
          <w:color w:val="000000" w:themeColor="text1"/>
          <w:sz w:val="28"/>
          <w:szCs w:val="28"/>
        </w:rPr>
        <w:t xml:space="preserve"> також дітей, евакуйованих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 постанови про відселення, відповідно до </w:t>
      </w:r>
      <w:hyperlink r:id="rId15" w:tooltip="https://zakon.rada.gov.ua/laws/show/796-12" w:history="1">
        <w:r>
          <w:rPr>
            <w:rStyle w:val="918"/>
            <w:rFonts w:eastAsia="Arial"/>
            <w:color w:val="000000" w:themeColor="text1"/>
            <w:sz w:val="28"/>
            <w:szCs w:val="28"/>
          </w:rPr>
          <w:t xml:space="preserve">Закону України</w:t>
        </w:r>
      </w:hyperlink>
      <w:r>
        <w:rPr>
          <w:color w:val="000000" w:themeColor="text1"/>
          <w:sz w:val="28"/>
          <w:szCs w:val="28"/>
        </w:rPr>
        <w:t xml:space="preserve">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Про статус і соціальний захист громадян, які постраждали внаслідок Чорнобильської катастрофи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  <w:r/>
    </w:p>
    <w:p>
      <w:pPr>
        <w:pStyle w:val="94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дітей</w:t>
      </w:r>
      <w:r>
        <w:rPr>
          <w:color w:val="000000" w:themeColor="text1"/>
          <w:sz w:val="28"/>
          <w:szCs w:val="28"/>
        </w:rPr>
        <w:t xml:space="preserve"> з числа внутрішньо переміщених осіб, дітей, які мають статус дитини, яка постраждала внаслідок воєнних дій і збройних конфліктів;</w:t>
      </w:r>
      <w:r>
        <w:rPr>
          <w:color w:val="000000" w:themeColor="text1"/>
        </w:rPr>
      </w:r>
      <w:r/>
    </w:p>
    <w:p>
      <w:pPr>
        <w:pStyle w:val="94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дітей</w:t>
      </w:r>
      <w:r>
        <w:rPr>
          <w:color w:val="000000" w:themeColor="text1"/>
          <w:sz w:val="28"/>
          <w:szCs w:val="28"/>
        </w:rPr>
        <w:t xml:space="preserve"> з числа осіб, визначених у</w:t>
      </w:r>
      <w:hyperlink r:id="rId16" w:tooltip="https://zakon.rada.gov.ua/laws/show/3551-12#n147" w:anchor="n147" w:history="1">
        <w:r>
          <w:rPr>
            <w:rStyle w:val="918"/>
            <w:rFonts w:eastAsia="Arial"/>
            <w:color w:val="000000" w:themeColor="text1"/>
            <w:sz w:val="28"/>
            <w:szCs w:val="28"/>
            <w:u w:val="none"/>
          </w:rPr>
          <w:t xml:space="preserve"> статті 10 </w:t>
        </w:r>
      </w:hyperlink>
      <w:r>
        <w:rPr>
          <w:color w:val="000000" w:themeColor="text1"/>
          <w:sz w:val="28"/>
          <w:szCs w:val="28"/>
          <w:u w:val="none"/>
        </w:rPr>
        <w:t xml:space="preserve">З</w:t>
      </w:r>
      <w:r>
        <w:rPr>
          <w:color w:val="000000" w:themeColor="text1"/>
          <w:sz w:val="28"/>
          <w:szCs w:val="28"/>
        </w:rPr>
        <w:t xml:space="preserve">акону України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Про статус ветеранів війни, гарантії їх соціального захисту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  <w:r/>
    </w:p>
    <w:p>
      <w:pPr>
        <w:pStyle w:val="938"/>
        <w:ind w:left="0" w:right="-141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eastAsia="Batang"/>
          <w:color w:val="000000"/>
          <w:sz w:val="28"/>
          <w:szCs w:val="28"/>
        </w:rPr>
      </w:pP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 xml:space="preserve"> учасників бойових дій – АТО та ООС;</w:t>
      </w:r>
      <w:r>
        <w:rPr>
          <w:color w:val="000000" w:themeColor="text1"/>
        </w:rPr>
      </w:r>
      <w:r/>
    </w:p>
    <w:p>
      <w:pPr>
        <w:pStyle w:val="938"/>
        <w:ind w:left="0" w:right="-141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eastAsia="Batang"/>
          <w:color w:val="000000"/>
          <w:sz w:val="28"/>
          <w:szCs w:val="28"/>
        </w:rPr>
      </w:pP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 xml:space="preserve">дітей, один з батьків яких загинув (пропав безвісти), помер під час захисту незалежності та суверенітету України</w:t>
      </w:r>
      <w:r>
        <w:rPr>
          <w:color w:val="000000" w:themeColor="text1"/>
        </w:rPr>
      </w:r>
      <w:r/>
    </w:p>
    <w:p>
      <w:pPr>
        <w:pStyle w:val="938"/>
        <w:ind w:left="0" w:right="-141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eastAsia="Batang"/>
          <w:color w:val="000000"/>
          <w:sz w:val="28"/>
          <w:szCs w:val="28"/>
        </w:rPr>
      </w:pP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 xml:space="preserve">дітей</w:t>
      </w: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 xml:space="preserve"> з інвалідністю;</w:t>
      </w:r>
      <w:r>
        <w:rPr>
          <w:color w:val="000000" w:themeColor="text1"/>
        </w:rPr>
      </w:r>
      <w:r/>
    </w:p>
    <w:p>
      <w:pPr>
        <w:pStyle w:val="938"/>
        <w:ind w:left="0" w:right="-141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 xml:space="preserve">у виняткових випадках (в разі, якщо сім’я опинилась в складних життєвих обставинах або батьки неспромо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</w:t>
      </w:r>
      <w:r>
        <w:rPr>
          <w:color w:val="000000" w:themeColor="text1"/>
        </w:rPr>
      </w:r>
      <w:r/>
    </w:p>
    <w:p>
      <w:pPr>
        <w:ind w:right="-141"/>
        <w:jc w:val="both"/>
        <w:spacing w:lineRule="auto" w:line="240" w:after="0" w:afterAutospacing="0"/>
        <w:tabs>
          <w:tab w:val="left" w:pos="426" w:leader="none"/>
          <w:tab w:val="left" w:pos="851" w:leader="none"/>
        </w:tabs>
        <w:rPr>
          <w:rStyle w:val="945"/>
          <w:rFonts w:ascii="Times New Roman" w:hAnsi="Times New Roman"/>
          <w:color w:val="000000"/>
          <w:sz w:val="28"/>
          <w:szCs w:val="28"/>
        </w:rPr>
      </w:pPr>
      <w:r>
        <w:rPr>
          <w:rStyle w:val="945"/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uk-UA"/>
        </w:rPr>
        <w:t xml:space="preserve">Розмір плати зменшується на 50 відсотків для батьків, у сім’ях яких троє і більше дітей.</w:t>
      </w:r>
      <w:r>
        <w:rPr>
          <w:rStyle w:val="945"/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ind w:firstLine="708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Станом на 01.11.2021 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загальна кількість дітей, які охоплені харчуванням 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16 закладах дошкільної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-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596 .</w:t>
      </w:r>
      <w:r/>
    </w:p>
    <w:p>
      <w:pPr>
        <w:ind w:firstLine="708"/>
        <w:jc w:val="both"/>
        <w:spacing w:lineRule="auto" w:line="240" w:after="0" w:afterAutospacing="0"/>
        <w:shd w:val="clear" w:fill="FFFFFF" w:color="auto"/>
        <w:rPr>
          <w:rStyle w:val="944"/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Style w:val="944"/>
          <w:rFonts w:ascii="Times New Roman" w:hAnsi="Times New Roman"/>
          <w:sz w:val="28"/>
          <w:szCs w:val="28"/>
        </w:rPr>
        <w:t xml:space="preserve">Б</w:t>
      </w:r>
      <w:r>
        <w:rPr>
          <w:rStyle w:val="944"/>
          <w:rFonts w:ascii="Times New Roman" w:hAnsi="Times New Roman"/>
          <w:sz w:val="28"/>
          <w:szCs w:val="28"/>
        </w:rPr>
        <w:t xml:space="preserve">езоплатним гарячим харчуванням у закладах дошкільної освіти</w:t>
      </w:r>
      <w:r>
        <w:rPr>
          <w:rStyle w:val="944"/>
          <w:rFonts w:ascii="Times New Roman" w:hAnsi="Times New Roman"/>
          <w:sz w:val="28"/>
          <w:szCs w:val="28"/>
        </w:rPr>
        <w:t xml:space="preserve"> охоплено 76 дітей (12</w:t>
      </w:r>
      <w:r>
        <w:rPr>
          <w:rStyle w:val="944"/>
          <w:rFonts w:ascii="Times New Roman" w:hAnsi="Times New Roman"/>
          <w:sz w:val="28"/>
          <w:szCs w:val="28"/>
        </w:rPr>
        <w:t xml:space="preserve">,7</w:t>
      </w:r>
      <w:r>
        <w:rPr>
          <w:rStyle w:val="944"/>
          <w:rFonts w:ascii="Times New Roman" w:hAnsi="Times New Roman"/>
          <w:sz w:val="28"/>
          <w:szCs w:val="28"/>
        </w:rPr>
        <w:t xml:space="preserve">%) від загальної кількості вихованців;</w:t>
      </w:r>
      <w:r>
        <w:rPr>
          <w:rStyle w:val="944"/>
          <w:rFonts w:ascii="Times New Roman" w:hAnsi="Times New Roman"/>
          <w:sz w:val="28"/>
          <w:szCs w:val="28"/>
        </w:rPr>
        <w:t xml:space="preserve"> </w:t>
      </w:r>
      <w:r>
        <w:rPr>
          <w:rStyle w:val="944"/>
          <w:rFonts w:ascii="Times New Roman" w:hAnsi="Times New Roman"/>
          <w:sz w:val="28"/>
          <w:szCs w:val="28"/>
        </w:rPr>
        <w:t xml:space="preserve">розмір плати зменшено на 50 відсотків для батьків, у сім’ях яких троє</w:t>
      </w:r>
      <w:r>
        <w:rPr>
          <w:rStyle w:val="944"/>
          <w:rFonts w:ascii="Times New Roman" w:hAnsi="Times New Roman"/>
          <w:sz w:val="28"/>
          <w:szCs w:val="28"/>
        </w:rPr>
        <w:t xml:space="preserve"> і більше дітей</w:t>
      </w:r>
      <w:r>
        <w:rPr>
          <w:rStyle w:val="944"/>
          <w:rFonts w:ascii="Times New Roman" w:hAnsi="Times New Roman"/>
          <w:sz w:val="28"/>
          <w:szCs w:val="28"/>
        </w:rPr>
        <w:t xml:space="preserve"> - 70 дітей.</w:t>
      </w:r>
      <w:r/>
    </w:p>
    <w:p>
      <w:pPr>
        <w:ind w:firstLine="708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Вартість харчування на одну дитину в день з </w:t>
      </w:r>
      <w:r>
        <w:rPr>
          <w:rFonts w:ascii="Times New Roman" w:hAnsi="Times New Roman"/>
          <w:sz w:val="28"/>
          <w:szCs w:val="28"/>
        </w:rPr>
        <w:t xml:space="preserve">ураху</w:t>
      </w:r>
      <w:r>
        <w:rPr>
          <w:rFonts w:ascii="Times New Roman" w:hAnsi="Times New Roman"/>
          <w:sz w:val="28"/>
          <w:szCs w:val="28"/>
        </w:rPr>
        <w:t xml:space="preserve">ванням вимог Постанови Кабінету Міністрів України від 24 березня 2021 року №305 «Про затвердження норм та Порядку організації харчування у закладах освіти та дитячих закладах оздоровлення та відпочинку» (зі змінами) та підвищення цін на продукти харчування</w:t>
      </w:r>
      <w:r>
        <w:rPr>
          <w:rFonts w:ascii="Times New Roman" w:hAnsi="Times New Roman"/>
          <w:sz w:val="28"/>
          <w:szCs w:val="28"/>
        </w:rPr>
        <w:t xml:space="preserve"> 2022-2024 роки має становити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ind w:right="-141"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для вихованців ЗДО – 40 грн на день – 2022 рік; 45 грн – 2023 рік; 50 грн – 2024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рік -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умови </w:t>
      </w:r>
      <w:r>
        <w:rPr>
          <w:rFonts w:ascii="Times New Roman" w:hAnsi="Times New Roman"/>
          <w:sz w:val="28"/>
          <w:szCs w:val="28"/>
        </w:rPr>
        <w:t xml:space="preserve">батьківської плати за харчування дитини в закладах дошкільної освіти 20 грн в день – 2022 рік, 22,5 грн в день – 2023 рік, 25 грн в день – 2023 рік (батьківська плата за харчування дітей складає 50 відсотків від вартості харчування на одну дитину в день). </w:t>
      </w:r>
      <w:r/>
    </w:p>
    <w:p>
      <w:pPr>
        <w:ind w:firstLine="708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 зв’язку з переведенням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 01 січня 2022 року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закладів дошкільної освіти на умови самостійного ведення господарської діяльності та бухгалтерського обліку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освіти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через Комунальну установу «Центр з обслуговування освітніх установ та закладів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ватиме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координацію процесу організації харчування та контроль безоплатного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та пільгового гарячого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харчування дітей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дошкільного віку, які відвідують заклади дошкільної освіти Менської ТГ,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категорії яких визначені даною Програмою.</w:t>
      </w:r>
      <w:r/>
    </w:p>
    <w:p>
      <w:pPr>
        <w:ind w:firstLine="708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харчовими нормами, якістю продукції, яка надходить до хар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чоблоків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організація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харчування в ЗДО здійснюється керівництвом відповідного закладу в рамках системи </w:t>
      </w:r>
      <w:r>
        <w:rPr>
          <w:sz w:val="28"/>
          <w:szCs w:val="28"/>
          <w:shd w:val="clear" w:fill="FFFFFF" w:color="auto"/>
        </w:rPr>
        <w:t xml:space="preserve"> 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(НАССР).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Комунальна установа «Центр з обслуговування освітніх установ та закладів освіти» спільно з адміністрацією закладу освіти буде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  забезпечу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вати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закупівлю 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постачання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продуктів харчування та продовольчої сировини гарантованої якості, ведення бухгалтерського обліку продуктів харчування та продовольчої сировини, аналітичний облік батьківської плати за харчування в закладах освіти.</w:t>
      </w:r>
      <w:r/>
    </w:p>
    <w:p>
      <w:pPr>
        <w:ind w:firstLine="708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Заклади освіти  забезпечують замовлення необхідної кількості продуктів харчува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ння та продовольчої сировини, їх приймання, складання меню-розкладу, виготовлення страв, подання дітям готових страв, ведення обліку дітей, які отримують харчування, контроль за харчуванням, інформування  батьків про організацію харчування дітей у закладі.</w:t>
      </w:r>
      <w:r/>
    </w:p>
    <w:p>
      <w:pPr>
        <w:ind w:firstLine="708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Розробка Програми зумовлена необхідністю створення та забезпечення умов для організації повноцінного та якісного харчування здобувачів освіти закладів 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дошкільної освіти Менської ТГ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а також забезпечення пільгових умов оплати харчування вихованців таких категорій, які потребують соціальної підтримки.</w:t>
      </w:r>
      <w:r/>
    </w:p>
    <w:p>
      <w:pPr>
        <w:pStyle w:val="938"/>
        <w:numPr>
          <w:ilvl w:val="0"/>
          <w:numId w:val="26"/>
        </w:numPr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МЕТА ТА ОСНОВНІ ЗАВДАННЯ ПРОГРАМИ</w:t>
      </w:r>
      <w:r/>
    </w:p>
    <w:p>
      <w:pPr>
        <w:ind w:right="-141" w:firstLine="708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Основна мета Програми – створення умов для збереження здоров’я дітей, підвищення рівня організації харчування, забезпечення вихованців закладів освіти якісним харчуванням,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впровадження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нових технологій приготування їжі.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/>
    </w:p>
    <w:p>
      <w:pPr>
        <w:ind w:right="-141"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Основними завданнями Програми є:</w:t>
      </w:r>
      <w:r/>
    </w:p>
    <w:p>
      <w:pPr>
        <w:numPr>
          <w:ilvl w:val="0"/>
          <w:numId w:val="17"/>
        </w:numPr>
        <w:ind w:left="0" w:right="0" w:firstLine="360"/>
        <w:jc w:val="both"/>
        <w:spacing w:lineRule="auto" w:line="240" w:after="100" w:afterAutospacing="1" w:before="100" w:beforeAutospacing="1"/>
        <w:shd w:val="clear" w:fill="FFFFFF" w:color="auto"/>
        <w:tabs>
          <w:tab w:val="clear" w:pos="72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вдосконалення системи організації харчування у закладах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дошкільної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освіти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ТГ;</w:t>
      </w:r>
      <w:r/>
    </w:p>
    <w:p>
      <w:pPr>
        <w:numPr>
          <w:ilvl w:val="0"/>
          <w:numId w:val="17"/>
        </w:numPr>
        <w:ind w:left="0" w:right="0" w:firstLine="360"/>
        <w:jc w:val="both"/>
        <w:spacing w:lineRule="auto" w:line="240" w:after="100" w:afterAutospacing="1" w:before="100" w:beforeAutospacing="1"/>
        <w:shd w:val="clear" w:fill="FFFFFF" w:color="auto"/>
        <w:tabs>
          <w:tab w:val="clear" w:pos="72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збереження здоров’я дітей та забезпечення повноцінного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раціонального харчування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вихованців закладів дошкільної освіти Менської ТГ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numPr>
          <w:ilvl w:val="0"/>
          <w:numId w:val="17"/>
        </w:numPr>
        <w:ind w:left="0" w:right="0" w:firstLine="360"/>
        <w:jc w:val="both"/>
        <w:spacing w:lineRule="auto" w:line="240" w:after="100" w:afterAutospacing="1" w:before="100" w:beforeAutospacing="1"/>
        <w:shd w:val="clear" w:fill="FFFFFF" w:color="auto"/>
        <w:tabs>
          <w:tab w:val="clear" w:pos="72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удосконалення управління системою організації харчування, оптимізація витрат на її функціонування;</w:t>
      </w:r>
      <w:r/>
    </w:p>
    <w:p>
      <w:pPr>
        <w:numPr>
          <w:ilvl w:val="0"/>
          <w:numId w:val="17"/>
        </w:numPr>
        <w:ind w:left="0" w:right="0" w:firstLine="360"/>
        <w:jc w:val="both"/>
        <w:spacing w:lineRule="auto" w:line="240" w:after="100" w:afterAutospacing="1" w:before="100" w:beforeAutospacing="1"/>
        <w:shd w:val="clear" w:fill="FFFFFF" w:color="auto"/>
        <w:tabs>
          <w:tab w:val="clear" w:pos="72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створення умов для повноцінного харчуванн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 вихованців ЗДО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numPr>
          <w:ilvl w:val="0"/>
          <w:numId w:val="17"/>
        </w:numPr>
        <w:ind w:left="0" w:right="0" w:firstLine="360"/>
        <w:jc w:val="both"/>
        <w:spacing w:lineRule="auto" w:line="240" w:after="100" w:afterAutospacing="1" w:before="100" w:beforeAutospacing="1"/>
        <w:shd w:val="clear" w:fill="FFFFFF" w:color="auto"/>
        <w:tabs>
          <w:tab w:val="clear" w:pos="72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гарячим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безоплатним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та пільговим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харчуванням дітей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дошкільного віку, які відвідують заклади дошкільної освіти Менської ТГ, категорії яких визначені даною Програмою.</w:t>
      </w:r>
      <w:r/>
    </w:p>
    <w:p>
      <w:pPr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Реалізація Програми дасть змогу:</w:t>
      </w:r>
      <w:r/>
    </w:p>
    <w:p>
      <w:pPr>
        <w:numPr>
          <w:ilvl w:val="0"/>
          <w:numId w:val="18"/>
        </w:numPr>
        <w:ind w:left="0" w:right="0" w:firstLine="360"/>
        <w:jc w:val="both"/>
        <w:spacing w:lineRule="auto" w:line="240" w:after="0" w:afterAutospacing="0" w:before="0" w:beforeAutospacing="0"/>
        <w:shd w:val="clear" w:fill="FFFFFF" w:color="auto"/>
        <w:tabs>
          <w:tab w:val="clear" w:pos="72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повноцінного і раціонального харчування дітей дошкільного віку;</w:t>
      </w:r>
      <w:r/>
    </w:p>
    <w:p>
      <w:pPr>
        <w:numPr>
          <w:ilvl w:val="0"/>
          <w:numId w:val="17"/>
        </w:numPr>
        <w:ind w:left="0" w:right="0" w:firstLine="360"/>
        <w:jc w:val="both"/>
        <w:spacing w:lineRule="auto" w:line="240" w:after="0" w:afterAutospacing="0" w:before="0" w:beforeAutospacing="0"/>
        <w:shd w:val="clear" w:fill="FFFFFF" w:color="auto"/>
        <w:tabs>
          <w:tab w:val="clear" w:pos="72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забезпечити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гарячим безоплатним та пільговим харчуванням дітей дошкільного віку, які відвідують заклади дошкільної освіти Менської ТГ, категорії яких визначені даною Програмою;</w:t>
      </w:r>
      <w:r/>
    </w:p>
    <w:p>
      <w:pPr>
        <w:numPr>
          <w:ilvl w:val="0"/>
          <w:numId w:val="18"/>
        </w:numPr>
        <w:ind w:left="0" w:right="0" w:firstLine="360"/>
        <w:jc w:val="both"/>
        <w:spacing w:lineRule="auto" w:line="240" w:after="0" w:afterAutospacing="0" w:before="0" w:beforeAutospacing="0"/>
        <w:shd w:val="clear" w:fill="FFFFFF" w:color="auto"/>
        <w:tabs>
          <w:tab w:val="clear" w:pos="72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формувати навички правильного та здорового харчування;</w:t>
      </w:r>
      <w:r/>
    </w:p>
    <w:p>
      <w:pPr>
        <w:numPr>
          <w:ilvl w:val="0"/>
          <w:numId w:val="18"/>
        </w:numPr>
        <w:ind w:left="0" w:right="0" w:firstLine="360"/>
        <w:jc w:val="both"/>
        <w:spacing w:lineRule="auto" w:line="240" w:after="0" w:afterAutospacing="0" w:before="0" w:beforeAutospacing="0"/>
        <w:shd w:val="clear" w:fill="FFFFFF" w:color="auto"/>
        <w:tabs>
          <w:tab w:val="clear" w:pos="72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надавати збалансоване харчування відповідно до віку і стану здоров’я дітей, урізноманітнити раціон харчування;</w:t>
      </w:r>
      <w:r/>
    </w:p>
    <w:p>
      <w:pPr>
        <w:numPr>
          <w:ilvl w:val="0"/>
          <w:numId w:val="18"/>
        </w:numPr>
        <w:ind w:left="0" w:right="0" w:firstLine="360"/>
        <w:jc w:val="both"/>
        <w:spacing w:lineRule="auto" w:line="240" w:after="0" w:afterAutospacing="0" w:before="0" w:beforeAutospacing="0"/>
        <w:shd w:val="clear" w:fill="FFFFFF" w:color="auto"/>
        <w:tabs>
          <w:tab w:val="clear" w:pos="72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поліпшити контроль за якістю сировини та готової продукції за системою </w:t>
      </w:r>
      <w:r>
        <w:rPr>
          <w:sz w:val="28"/>
          <w:szCs w:val="28"/>
          <w:shd w:val="clear" w:fill="FFFFFF" w:color="auto"/>
        </w:rPr>
        <w:t xml:space="preserve">(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НАССР);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 </w:t>
      </w:r>
      <w:r/>
    </w:p>
    <w:p>
      <w:pPr>
        <w:numPr>
          <w:ilvl w:val="0"/>
          <w:numId w:val="18"/>
        </w:numPr>
        <w:ind w:left="0" w:right="0" w:firstLine="360"/>
        <w:jc w:val="both"/>
        <w:spacing w:lineRule="auto" w:line="240" w:after="100" w:afterAutospacing="1" w:before="100" w:beforeAutospacing="1"/>
        <w:shd w:val="clear" w:fill="FFFFFF" w:color="auto"/>
        <w:tabs>
          <w:tab w:val="clear" w:pos="72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забезпечити раціональне та ефективне використання бюджетних коштів.</w:t>
      </w:r>
      <w:r/>
    </w:p>
    <w:p>
      <w:pPr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Доцільність створення даної Програми обумовлена:</w:t>
      </w:r>
      <w:r/>
    </w:p>
    <w:p>
      <w:pPr>
        <w:numPr>
          <w:ilvl w:val="0"/>
          <w:numId w:val="19"/>
        </w:numPr>
        <w:ind w:left="0" w:right="0" w:firstLine="360"/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турботою про збереження та поліпшення стану здоров’я дітей;</w:t>
      </w:r>
      <w:r/>
    </w:p>
    <w:p>
      <w:pPr>
        <w:numPr>
          <w:ilvl w:val="0"/>
          <w:numId w:val="19"/>
        </w:numPr>
        <w:ind w:left="0" w:right="0" w:firstLine="360"/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необхідністю створення умов для організації повноцінного і якісного харчування як важливої складової для розвитку дитячого організму;</w:t>
      </w:r>
      <w:r/>
    </w:p>
    <w:p>
      <w:pPr>
        <w:numPr>
          <w:ilvl w:val="0"/>
          <w:numId w:val="19"/>
        </w:numPr>
        <w:ind w:left="0" w:right="0" w:firstLine="360"/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необхідністю вдосконалення системи організації харчування у закладах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дошкільної освіти Менської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ТГ, яка забезпечить раціональне, ефективне і прозоре використання бюджетних коштів.</w:t>
      </w:r>
      <w:r/>
    </w:p>
    <w:p>
      <w:pPr>
        <w:ind w:left="0" w:right="0" w:firstLine="360"/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4.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ОСНОВНІ ЗАХОДИ ПРОГРАМИ</w:t>
      </w:r>
      <w:r/>
    </w:p>
    <w:tbl>
      <w:tblPr>
        <w:tblW w:w="9921" w:type="dxa"/>
        <w:shd w:val="clear" w:fill="FFFFFF" w:color="auto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0"/>
        <w:gridCol w:w="4819"/>
        <w:gridCol w:w="2551"/>
        <w:gridCol w:w="1701"/>
      </w:tblGrid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442" w:firstLine="0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uk-UA"/>
              </w:rPr>
              <w:t xml:space="preserve">№ з/п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442" w:firstLine="0"/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Заходи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442" w:firstLine="0"/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Виконавці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58" w:firstLine="0"/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Термін виконання</w:t>
            </w:r>
            <w:r/>
          </w:p>
        </w:tc>
      </w:tr>
      <w:tr>
        <w:trPr/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992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442" w:firstLine="0"/>
              <w:jc w:val="left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1.            Організаційно-методичне забезпечення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234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1.1.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Удосконалення системи контролю за якістю харчування в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закладах дошкільної освіти Менської ТГ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, у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досконалення системи </w:t>
            </w:r>
            <w:r>
              <w:rPr>
                <w:sz w:val="28"/>
                <w:szCs w:val="28"/>
                <w:shd w:val="clear" w:fill="FFFFFF" w:color="auto"/>
              </w:rPr>
              <w:t xml:space="preserve">(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</w:rPr>
              <w:t xml:space="preserve">НАССР)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Відділ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освіти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, Комунальна установа, керівники ЗДО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Постійно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234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1.2.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Систематичне оновлення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інформаційних куточків для  батьків щодо харчування дітей.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442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ЗДО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Постійно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234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1.3.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Оновлення бази даних дітей пільгових категорій, які потребують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безоплатного або пільгового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харчування.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442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ЗДО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Січень, щорічно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234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1.4.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Організація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та проведення нарад, семінарів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питань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формування здорового способу життя.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442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ЗДО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Відповідно до плану роботи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234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1.5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Проведення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публічних закупівель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продуктів харчування.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58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Комунальна установа, керівники ЗДО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 потребою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234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1.6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Забезпечення фінансування наданих виплат.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58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Відділ освіти, Комунальна установа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Постійно</w:t>
            </w:r>
            <w:r/>
          </w:p>
        </w:tc>
      </w:tr>
      <w:tr>
        <w:trPr/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992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2. Організація харчування в  закладах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дошкільної о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світи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Менської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ТГ</w:t>
            </w:r>
            <w:r/>
          </w:p>
          <w:p>
            <w:pPr>
              <w:contextualSpacing w:val="false"/>
              <w:ind w:left="0" w:right="-234" w:firstLine="0"/>
              <w:jc w:val="left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 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234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2.1.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pStyle w:val="947"/>
              <w:contextualSpacing w:val="false"/>
              <w:ind w:left="0" w:right="-17" w:firstLine="0"/>
              <w:jc w:val="both"/>
              <w:spacing w:after="150" w:afterAutospacing="0" w:before="0" w:beforeAutospacing="0"/>
              <w:shd w:val="clear" w:fill="FFFFFF" w:color="auto"/>
              <w:suppressLineNumbers w:val="0"/>
            </w:pPr>
            <w:r>
              <w:rPr>
                <w:b/>
                <w:sz w:val="28"/>
                <w:szCs w:val="28"/>
              </w:rPr>
              <w:t xml:space="preserve">Забезпечення </w:t>
            </w:r>
            <w:r>
              <w:rPr>
                <w:b/>
                <w:sz w:val="28"/>
                <w:szCs w:val="28"/>
              </w:rPr>
              <w:t xml:space="preserve"> безоплатним гарячим </w:t>
            </w:r>
            <w:r>
              <w:rPr>
                <w:b/>
                <w:sz w:val="28"/>
                <w:szCs w:val="28"/>
              </w:rPr>
              <w:t xml:space="preserve">харчуванням </w:t>
            </w:r>
            <w:r>
              <w:rPr>
                <w:sz w:val="28"/>
                <w:szCs w:val="28"/>
                <w:shd w:val="clear" w:fill="FFFFFF" w:color="auto"/>
              </w:rPr>
              <w:t xml:space="preserve">за рахунок коштів місцевого бюджету відповідно до встановленого в закладі освіти режиму (кратності) харчування для вихованців закладу освіти</w:t>
            </w:r>
            <w:r>
              <w:rPr>
                <w:sz w:val="28"/>
                <w:szCs w:val="28"/>
              </w:rPr>
              <w:t xml:space="preserve"> з числа:</w:t>
            </w:r>
            <w:r>
              <w:t xml:space="preserve"> </w:t>
            </w:r>
            <w:r/>
          </w:p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/>
            <w:bookmarkStart w:id="0" w:name="n165"/>
            <w:r/>
            <w:bookmarkEnd w:id="0"/>
            <w: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дітей-сиріт;</w:t>
            </w:r>
            <w:r/>
          </w:p>
          <w:p>
            <w:pPr>
              <w:pStyle w:val="947"/>
              <w:contextualSpacing w:val="false"/>
              <w:ind w:left="0" w:right="-17" w:firstLine="0"/>
              <w:jc w:val="both"/>
              <w:spacing w:after="150" w:afterAutospacing="0"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-дітей, позбавлених батьківського піклування;</w:t>
            </w:r>
            <w:r/>
          </w:p>
          <w:p>
            <w:pPr>
              <w:pStyle w:val="947"/>
              <w:contextualSpacing w:val="false"/>
              <w:ind w:left="0" w:right="-17" w:firstLine="0"/>
              <w:jc w:val="both"/>
              <w:spacing w:after="150" w:afterAutospacing="0"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-дітей з особливими освітніми потребами, які навчаються у спеціальних та інклюзивних класах (групах);</w:t>
            </w:r>
            <w:r/>
          </w:p>
          <w:p>
            <w:pPr>
              <w:pStyle w:val="947"/>
              <w:contextualSpacing w:val="false"/>
              <w:ind w:left="0" w:right="-17" w:firstLine="0"/>
              <w:jc w:val="both"/>
              <w:spacing w:after="150" w:afterAutospacing="0"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-дітей із сімей, які отримують допомогу відповідно до</w:t>
            </w:r>
            <w:r>
              <w:rPr>
                <w:sz w:val="28"/>
                <w:szCs w:val="28"/>
                <w:u w:val="none"/>
              </w:rPr>
              <w:t xml:space="preserve"> </w:t>
            </w:r>
            <w:hyperlink r:id="rId17" w:tooltip="https://zakon.rada.gov.ua/laws/show/1768-14" w:history="1">
              <w:r>
                <w:rPr>
                  <w:rStyle w:val="918"/>
                  <w:rFonts w:eastAsia="Arial"/>
                  <w:color w:val="auto"/>
                  <w:sz w:val="28"/>
                  <w:szCs w:val="28"/>
                  <w:u w:val="none"/>
                </w:rPr>
                <w:t xml:space="preserve">Закону України</w:t>
              </w:r>
            </w:hyperlink>
            <w:r>
              <w:rPr>
                <w:sz w:val="28"/>
                <w:szCs w:val="28"/>
                <w:u w:val="none"/>
              </w:rPr>
              <w:t xml:space="preserve"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державну соціальну допомогу малозабезпеченим сім’ям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»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947"/>
              <w:contextualSpacing w:val="false"/>
              <w:ind w:left="0" w:right="-17" w:firstLine="0"/>
              <w:jc w:val="both"/>
              <w:spacing w:after="150" w:afterAutospacing="0" w:before="0" w:beforeAutospacing="0"/>
              <w:shd w:val="clear" w:fill="FFFFFF" w:color="auto"/>
              <w:rPr>
                <w:sz w:val="28"/>
                <w:szCs w:val="28"/>
                <w:highlight w:val="none"/>
              </w:rPr>
              <w:suppressLineNumbers w:val="0"/>
            </w:pPr>
            <w:r>
              <w:rPr>
                <w:sz w:val="28"/>
                <w:szCs w:val="28"/>
              </w:rPr>
              <w:t xml:space="preserve">-учнів закладів освіти, розташованих на територіях радіоактивного забруднення, а</w:t>
            </w:r>
            <w:r>
              <w:rPr>
                <w:sz w:val="28"/>
                <w:szCs w:val="28"/>
              </w:rPr>
              <w:t xml:space="preserve"> також дітей, евакуйованих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 постанови про відселення, відповідно до </w:t>
            </w:r>
            <w:hyperlink r:id="rId18" w:tooltip="https://zakon.rada.gov.ua/laws/show/796-12" w:history="1">
              <w:r>
                <w:rPr>
                  <w:rStyle w:val="918"/>
                  <w:rFonts w:eastAsia="Arial"/>
                  <w:color w:val="auto"/>
                  <w:sz w:val="28"/>
                  <w:szCs w:val="28"/>
                </w:rPr>
                <w:t xml:space="preserve">Закону України</w:t>
              </w:r>
            </w:hyperlink>
            <w:r>
              <w:rPr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Про статус і соціальний захист громадян, які постраждали внаслідок Чорнобильської катастрофи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»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947"/>
              <w:contextualSpacing w:val="false"/>
              <w:ind w:left="0" w:right="-17" w:firstLine="0"/>
              <w:jc w:val="both"/>
              <w:spacing w:after="150" w:afterAutospacing="0"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pStyle w:val="947"/>
              <w:contextualSpacing w:val="false"/>
              <w:ind w:left="0" w:right="-17" w:firstLine="0"/>
              <w:jc w:val="both"/>
              <w:spacing w:after="150" w:afterAutospacing="0" w:before="0" w:beforeAutospacing="0"/>
              <w:shd w:val="clear" w:fill="FFFFFF" w:color="auto"/>
              <w:rPr>
                <w:sz w:val="28"/>
                <w:szCs w:val="28"/>
                <w:highlight w:val="none"/>
              </w:rPr>
              <w:suppressLineNumbers w:val="0"/>
            </w:pPr>
            <w:r>
              <w:rPr>
                <w:sz w:val="28"/>
                <w:szCs w:val="28"/>
              </w:rPr>
              <w:t xml:space="preserve">-дітей</w:t>
            </w:r>
            <w:r>
              <w:rPr>
                <w:sz w:val="28"/>
                <w:szCs w:val="28"/>
              </w:rPr>
              <w:t xml:space="preserve"> з числа внутрішньо переміщених осіб, діти, які мають статус дитини, яка постраждала внаслідок воєнних дій і збройних конфліктів;</w:t>
            </w:r>
            <w:r/>
          </w:p>
          <w:p>
            <w:pPr>
              <w:pStyle w:val="947"/>
              <w:contextualSpacing w:val="false"/>
              <w:ind w:left="0" w:right="-17" w:firstLine="0"/>
              <w:jc w:val="both"/>
              <w:spacing w:after="150" w:afterAutospacing="0"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pStyle w:val="947"/>
              <w:contextualSpacing w:val="false"/>
              <w:ind w:left="0" w:right="-17" w:firstLine="0"/>
              <w:jc w:val="both"/>
              <w:spacing w:after="150" w:afterAutospacing="0"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-дітей з числа осіб, визначених у</w:t>
            </w:r>
            <w:hyperlink r:id="rId19" w:tooltip="https://zakon.rada.gov.ua/laws/show/3551-12#n147" w:anchor="n147" w:history="1">
              <w:r>
                <w:rPr>
                  <w:rStyle w:val="918"/>
                  <w:rFonts w:eastAsia="Arial"/>
                  <w:color w:val="auto"/>
                  <w:sz w:val="28"/>
                  <w:szCs w:val="28"/>
                  <w:u w:val="none"/>
                </w:rPr>
                <w:t xml:space="preserve"> статті 10 </w:t>
              </w:r>
            </w:hyperlink>
            <w:r>
              <w:rPr>
                <w:sz w:val="28"/>
                <w:szCs w:val="28"/>
              </w:rPr>
              <w:t xml:space="preserve">Закону України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Про статус ветеранів війни, гарантії їх соціального захисту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»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938"/>
              <w:numPr>
                <w:ilvl w:val="0"/>
                <w:numId w:val="11"/>
              </w:num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Batang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дітей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 учасників бойових дій – АТО та ООС;</w:t>
            </w:r>
            <w:r/>
          </w:p>
          <w:p>
            <w:pPr>
              <w:pStyle w:val="938"/>
              <w:numPr>
                <w:ilvl w:val="0"/>
                <w:numId w:val="11"/>
              </w:num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Batang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дітей, один з батьків яких загинув (пропав безвісти), помер під час захисту незалежності та суверенітету України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;</w:t>
            </w:r>
            <w:r/>
          </w:p>
          <w:p>
            <w:pPr>
              <w:pStyle w:val="938"/>
              <w:numPr>
                <w:ilvl w:val="0"/>
                <w:numId w:val="11"/>
              </w:num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Batang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дітей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 з інвалідністю;</w:t>
            </w:r>
            <w:r/>
          </w:p>
          <w:p>
            <w:pPr>
              <w:pStyle w:val="938"/>
              <w:numPr>
                <w:ilvl w:val="0"/>
                <w:numId w:val="11"/>
              </w:num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у виняткових випадках (в разі, якщо сім’я опинилась в складних життєвих обставинах або батьки неспромо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 освіти Менської міської ради)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</w:t>
            </w:r>
            <w:r/>
          </w:p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uk-UA"/>
              </w:rPr>
              <w:t xml:space="preserve">Розмір плати зменшується на 50 відсотків для батьків,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uk-UA"/>
              </w:rPr>
              <w:t xml:space="preserve">у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uk-UA"/>
              </w:rPr>
              <w:t xml:space="preserve">сім’ях яких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uk-UA"/>
              </w:rPr>
              <w:t xml:space="preserve">троє і більше дітей.</w:t>
            </w:r>
            <w:r>
              <w:rPr>
                <w:rStyle w:val="945"/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442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Відділ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освіти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267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uk-UA"/>
              </w:rPr>
              <w:t xml:space="preserve">Протягом року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234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2.2.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Дотримання санітарно-гігієнічних норм щодо організації харчування, оптимального режиму роботи харчоблоків.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Заклади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дошкільної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освіти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Менської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ТГ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Постійно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234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2.3.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Проведення тематичних перевірок щодо організації харчування в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закладах дошкільної освіти.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освіти,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ЗДО 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Згідно плану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0" w:right="-234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2.4.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819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Розподіл коштів на організацію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безоплатного 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ільгового гарячого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харчування здобувачів освіти, облік 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звітність за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використання коштів, які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виділяються на безоплатне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та пільгове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харчування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ЗДО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r>
            <w:r/>
          </w:p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Керівники ЗДО,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Комунальна установа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</w:tc>
      </w:tr>
      <w:tr>
        <w:trPr/>
        <w:tc>
          <w:tcPr>
            <w:gridSpan w:val="4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992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442" w:firstLine="0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shd w:val="clear" w:fill="FFFFFF" w:color="auto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Підвищення якості харчування </w:t>
            </w:r>
            <w:r/>
          </w:p>
          <w:p>
            <w:pPr>
              <w:contextualSpacing w:val="false"/>
              <w:ind w:left="0" w:right="442" w:firstLine="0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по закладах 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дошкільної 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освіти 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Менської ТГ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442" w:firstLine="0"/>
              <w:jc w:val="left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Розширення асортименту страв.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Заклади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дошкільної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освіти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2022-2024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 р.р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Розробка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примірного чотиритижневого сезонного меню - документ, що містить набір страв, вихід (масу) їх порцій для різних вікових груп, враховує особливі дієтичні потреби здобувачів</w:t>
            </w:r>
            <w:r>
              <w:rPr>
                <w:color w:val="000000" w:themeColor="text1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освіти/дітей (у разі наявності), сезонн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ість (осінь, зима, весна, літо).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Заклади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дошкільної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освіти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267" w:firstLine="0"/>
              <w:jc w:val="left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Щорічно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Контроль за якістю та безпекою, дотриманням термінів, умов зберігання та реалізації продуктів, за поставкою продуктів харчування   з наявністю сертифікатів відповідності, посвідчень про якість і супровідних документів.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Заклади дошкільної освіти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Постійно</w:t>
            </w:r>
            <w:r/>
          </w:p>
        </w:tc>
      </w:tr>
      <w:tr>
        <w:trPr/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Організація роботи щодо підготовки харчоблоків закладів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дошкільної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освіти до початку нового навчального року.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Відділ освіти, Комунальна установа, з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аклади освіти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-17" w:firstLine="0"/>
              <w:jc w:val="left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202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-202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 рр.</w:t>
            </w:r>
            <w:r/>
          </w:p>
        </w:tc>
      </w:tr>
    </w:tbl>
    <w:p>
      <w:pPr>
        <w:ind w:left="1081" w:firstLine="0"/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r>
      <w:r/>
    </w:p>
    <w:p>
      <w:pPr>
        <w:ind w:left="1081" w:firstLine="0"/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5. ФІНАНСОВЕ ТА РЕСУРСНЕ ЗАБЕЗПЕЧЕННЯ ПРОГРАМИ</w:t>
      </w:r>
      <w:r/>
    </w:p>
    <w:p>
      <w:pPr>
        <w:ind w:left="0" w:right="0"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Batang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Фінансування Програми здійснюється за рахунок коштів бюджету  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міської територіальної громади відповідно до кошторису після затвердження його рішенням сесії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 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іської ради в межах бюджетних асигнувань, 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також за рахунок інших джерел, не заборонених законодавством України.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При цьому обсяг коштів визначається під час формування бюджету з урахуванням його фінансових можливостей та може змінюватися в процесі виконання бюджету при внесенні змін до нього. 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Орієнтовні обсяги та джерела фінансування Програми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організації харчування дітей в закладах дошкільної освіти Менської міської ради на 2022-2024 роки визначені в Паспорті Програми.</w:t>
      </w:r>
      <w:r/>
    </w:p>
    <w:p>
      <w:pPr>
        <w:ind w:left="0" w:right="0"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абезпечення гарячим харчуванням  здійснюється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відділом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Комунальною установою «Центр з обслуговування освітніх установ та закладів освіти»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та закладами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дошкільної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освіти.</w:t>
      </w:r>
      <w:r/>
    </w:p>
    <w:p>
      <w:pPr>
        <w:ind w:left="0" w:right="0"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Враховуючи те, що протягом року може змінюватись кількість дітей,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які відвідують заклади дошкільної освіти, а також кількість дітей,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яким надається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безоплатне та пільгове гаряче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харчування, суми на харчування виділяються згідно фактичної кількості осіб.</w:t>
      </w:r>
      <w:r/>
    </w:p>
    <w:p>
      <w:pPr>
        <w:ind w:left="0" w:right="0"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освіти за підсумками кожного року подає звіт про виконання Програми та вносить пропозиції щодо потреби в коштах на наступний рік, до кінця дії Програми.</w:t>
      </w:r>
      <w:r/>
    </w:p>
    <w:p>
      <w:pPr>
        <w:ind w:left="0" w:right="0"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  <w:r/>
    </w:p>
    <w:p>
      <w:pPr>
        <w:numPr>
          <w:ilvl w:val="0"/>
          <w:numId w:val="22"/>
        </w:numPr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РОЗРАХУНОК ПОТРЕБИ В КОШТАХ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</w:t>
      </w:r>
      <w:r/>
    </w:p>
    <w:p>
      <w:pPr>
        <w:ind w:left="720" w:firstLine="0"/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на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виконання Програми</w:t>
      </w:r>
      <w:r/>
    </w:p>
    <w:p>
      <w:pPr>
        <w:ind w:left="0" w:right="-141"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основу розрахунку потреби коштів,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необхідних для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реалізації даної Програми у 2022-2024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роках покладено наступні вимоги:</w:t>
      </w:r>
      <w:r/>
    </w:p>
    <w:p>
      <w:pPr>
        <w:ind w:left="0" w:right="-141" w:firstLine="567"/>
        <w:jc w:val="both"/>
        <w:spacing w:lineRule="auto" w:line="240" w:after="0"/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-  фінансування харчування дітей в закладах дошкільної освіти за рахунок місцевого бюджету (50%) та коштів батьків у вигляді плати за харчування (50%)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;</w:t>
      </w:r>
      <w:r/>
    </w:p>
    <w:p>
      <w:pPr>
        <w:pStyle w:val="938"/>
        <w:numPr>
          <w:ilvl w:val="0"/>
          <w:numId w:val="11"/>
        </w:numPr>
        <w:ind w:left="0" w:right="-141"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дітей, що харчу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ються в закладі дошкільної освіти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та не користуються пільгами (у разі сплати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 харчування  коштами спеціального фонду (батьківськими кошт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ами 50% від вартості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харчування на одну дитину в день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);</w:t>
      </w:r>
      <w:r/>
    </w:p>
    <w:p>
      <w:pPr>
        <w:pStyle w:val="938"/>
        <w:numPr>
          <w:ilvl w:val="0"/>
          <w:numId w:val="11"/>
        </w:numPr>
        <w:ind w:left="0" w:right="-141" w:firstLine="567"/>
        <w:jc w:val="both"/>
        <w:spacing w:lineRule="auto" w:line="240" w:after="0"/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дітей, що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забезпечуються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 безоплатним гарячим харчуванням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 закладі дошкільної освіти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(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 рахунок коштів місцевого бюджету, категорії визначені даною Програмою);</w:t>
      </w:r>
      <w:r/>
    </w:p>
    <w:p>
      <w:pPr>
        <w:pStyle w:val="938"/>
        <w:numPr>
          <w:ilvl w:val="0"/>
          <w:numId w:val="11"/>
        </w:numPr>
        <w:ind w:left="0" w:right="-141"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дітей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що користуються пільгами при оплаті за харчування в закладах дошкільної освіти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Consolas" w:hAnsi="Consolas"/>
          <w:sz w:val="28"/>
          <w:szCs w:val="28"/>
          <w:shd w:val="clear" w:fill="FFFFFF" w:color="auto"/>
        </w:rPr>
        <w:t xml:space="preserve">(р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озмір плати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 харчування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зменшується на 50 відсотків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Style w:val="944"/>
          <w:rFonts w:ascii="Times New Roman" w:hAnsi="Times New Roman"/>
          <w:sz w:val="28"/>
          <w:szCs w:val="28"/>
        </w:rPr>
        <w:t xml:space="preserve">для батьків, у сім’ях яких троє і більше дітей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)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;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/>
    </w:p>
    <w:p>
      <w:pPr>
        <w:pStyle w:val="938"/>
        <w:numPr>
          <w:ilvl w:val="0"/>
          <w:numId w:val="11"/>
        </w:numPr>
        <w:ind w:left="0" w:right="-141" w:firstLine="567"/>
        <w:jc w:val="both"/>
        <w:spacing w:lineRule="auto" w:line="240" w:after="0"/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вартість харчування на одну дитину в день з урахуванням підвищення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цін на продукти харчування (2022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рік-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40 грн в день, 2023 рік- 45 грн в день, 2024 рік – 5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0 грн в день),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 умови батьківської плати за харчування дити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ни у закладах дошкільної освіти: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2022 рік - 20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грн в день,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2023 рік- 22,5 грн в день, 2024 рік – 25 грн в день);</w:t>
      </w:r>
      <w:r/>
    </w:p>
    <w:p>
      <w:pPr>
        <w:pStyle w:val="938"/>
        <w:numPr>
          <w:ilvl w:val="0"/>
          <w:numId w:val="11"/>
        </w:numPr>
        <w:ind w:left="0" w:right="-141" w:firstLine="567"/>
        <w:jc w:val="both"/>
        <w:spacing w:lineRule="auto" w:line="240" w:after="0"/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середній показник кількості діто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днів за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попередні роки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;</w:t>
      </w:r>
      <w:r/>
    </w:p>
    <w:p>
      <w:pPr>
        <w:pStyle w:val="938"/>
        <w:numPr>
          <w:ilvl w:val="0"/>
          <w:numId w:val="11"/>
        </w:numPr>
        <w:ind w:left="0" w:right="-141" w:firstLine="567"/>
        <w:jc w:val="both"/>
        <w:spacing w:lineRule="auto" w:line="240" w:after="0"/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середній показник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виконання норм харчування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за попередні роки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ind w:left="567" w:right="-141" w:firstLine="0"/>
        <w:jc w:val="both"/>
        <w:spacing w:lineRule="auto" w:line="240" w:after="0"/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Batang"/>
          <w:sz w:val="28"/>
          <w:szCs w:val="28"/>
          <w:highlight w:val="none"/>
          <w:lang w:eastAsia="ru-RU"/>
        </w:rPr>
      </w:r>
      <w:r/>
    </w:p>
    <w:tbl>
      <w:tblPr>
        <w:tblW w:w="10054" w:type="dxa"/>
        <w:shd w:val="clear" w:fill="FFFFFF" w:color="auto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33"/>
        <w:gridCol w:w="2289"/>
        <w:gridCol w:w="2196"/>
        <w:gridCol w:w="2336"/>
      </w:tblGrid>
      <w:tr>
        <w:trPr>
          <w:trHeight w:val="644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323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 Всього на рік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28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auto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color w:val="auto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/>
                <w:color w:val="auto"/>
                <w:sz w:val="28"/>
                <w:szCs w:val="28"/>
                <w:lang w:eastAsia="uk-UA"/>
              </w:rPr>
              <w:t xml:space="preserve"> 2022 рік</w:t>
            </w:r>
            <w:r>
              <w:rPr>
                <w:color w:val="auto"/>
              </w:rPr>
            </w:r>
            <w:r/>
          </w:p>
          <w:p>
            <w:pPr>
              <w:spacing w:lineRule="auto" w:line="240" w:after="150"/>
              <w:rPr>
                <w:rFonts w:ascii="Times New Roman" w:hAnsi="Times New Roman" w:eastAsia="Times New Roman"/>
                <w:color w:val="auto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3 778 706,00</w:t>
            </w:r>
            <w:r>
              <w:rPr>
                <w:color w:val="auto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19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auto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bCs/>
                <w:color w:val="auto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/>
                <w:color w:val="auto"/>
                <w:sz w:val="28"/>
                <w:szCs w:val="28"/>
                <w:lang w:eastAsia="uk-UA"/>
              </w:rPr>
              <w:t xml:space="preserve"> 2023 рік</w:t>
            </w:r>
            <w:r>
              <w:rPr>
                <w:color w:val="auto"/>
              </w:rPr>
            </w:r>
            <w:r/>
          </w:p>
          <w:p>
            <w:pPr>
              <w:spacing w:lineRule="auto" w:line="240" w:after="150"/>
              <w:rPr>
                <w:rFonts w:ascii="Times New Roman" w:hAnsi="Times New Roman" w:eastAsia="Times New Roman"/>
                <w:color w:val="auto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4 244 792,00</w:t>
            </w:r>
            <w:r>
              <w:rPr>
                <w:color w:val="auto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2336" w:type="dxa"/>
            <w:vAlign w:val="center"/>
            <w:textDirection w:val="lrTb"/>
            <w:noWrap w:val="false"/>
          </w:tcPr>
          <w:p>
            <w:pPr>
              <w:ind w:left="0" w:right="650" w:firstLine="0"/>
              <w:spacing w:lineRule="auto" w:line="240" w:after="0"/>
              <w:rPr>
                <w:rFonts w:ascii="Times New Roman" w:hAnsi="Times New Roman" w:eastAsia="Times New Roman"/>
                <w:color w:val="auto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bCs/>
                <w:color w:val="auto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/>
                <w:color w:val="auto"/>
                <w:sz w:val="28"/>
                <w:szCs w:val="28"/>
                <w:lang w:eastAsia="uk-UA"/>
              </w:rPr>
              <w:t xml:space="preserve">2024 рік</w:t>
            </w:r>
            <w:r>
              <w:rPr>
                <w:color w:val="auto"/>
              </w:rPr>
            </w:r>
            <w:r/>
          </w:p>
          <w:p>
            <w:pPr>
              <w:spacing w:lineRule="auto" w:line="240" w:after="150"/>
              <w:rPr>
                <w:rFonts w:ascii="Times New Roman" w:hAnsi="Times New Roman" w:eastAsia="Times New Roman"/>
                <w:color w:val="auto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4 710 887, 00</w:t>
            </w:r>
            <w:r>
              <w:rPr>
                <w:color w:val="auto"/>
              </w:rPr>
            </w:r>
            <w:r/>
          </w:p>
        </w:tc>
      </w:tr>
    </w:tbl>
    <w:p>
      <w:pPr>
        <w:ind w:left="720" w:firstLine="0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uk-UA"/>
        </w:rPr>
      </w:r>
      <w:r/>
    </w:p>
    <w:p>
      <w:pPr>
        <w:ind w:left="720" w:firstLine="0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7. ОЧІКУВАНІ РЕЗУЛЬТАТИ ВИКОНАННЯ ПРОГРАМИ</w:t>
      </w:r>
      <w:r/>
    </w:p>
    <w:p>
      <w:pPr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Реалізація основних завдань Програми забезпечить:</w:t>
      </w:r>
      <w:r/>
    </w:p>
    <w:p>
      <w:pPr>
        <w:numPr>
          <w:ilvl w:val="0"/>
          <w:numId w:val="24"/>
        </w:numPr>
        <w:jc w:val="both"/>
        <w:spacing w:lineRule="auto" w:line="240" w:after="0" w:afterAutospacing="0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створення умов, що сприяють зміцненню здоров’я вихованців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закладів дошкільної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їхньому гармонійному розвитку;</w:t>
      </w:r>
      <w:r/>
    </w:p>
    <w:p>
      <w:pPr>
        <w:numPr>
          <w:ilvl w:val="0"/>
          <w:numId w:val="24"/>
        </w:numPr>
        <w:jc w:val="both"/>
        <w:spacing w:lineRule="auto" w:line="240" w:after="0" w:afterAutospacing="0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якісного, збалансованого та повноцінного харчування вихованців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закладів дошкільної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pStyle w:val="938"/>
        <w:numPr>
          <w:ilvl w:val="0"/>
          <w:numId w:val="24"/>
        </w:numPr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абезпечення  безоплатним гарячим харчуванням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 рахунок коштів місцевого бюджету відповідно до встановленого в закладі освіти режиму (кратності) харчування для вихованців закладу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 числа категорій визначених даною Програмою;</w:t>
      </w:r>
      <w:r/>
    </w:p>
    <w:p>
      <w:pPr>
        <w:pStyle w:val="938"/>
        <w:numPr>
          <w:ilvl w:val="0"/>
          <w:numId w:val="24"/>
        </w:numPr>
        <w:ind w:right="-141"/>
        <w:jc w:val="both"/>
        <w:spacing w:lineRule="auto" w:line="240" w:after="0" w:afterAutospacing="0" w:before="0" w:beforeAutospacing="0"/>
        <w:tabs>
          <w:tab w:val="left" w:pos="426" w:leader="none"/>
          <w:tab w:val="left" w:pos="851" w:leader="none"/>
        </w:tabs>
        <w:rPr>
          <w:rStyle w:val="945"/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озмір плати зменшується на 50 відсотків для батьків, у сім’ях яких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троє і більше дітей</w:t>
      </w:r>
      <w:r>
        <w:rPr>
          <w:rStyle w:val="945"/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24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раціональне та ефективне використання бюджетних коштів;</w:t>
      </w:r>
      <w:r/>
    </w:p>
    <w:p>
      <w:pPr>
        <w:numPr>
          <w:ilvl w:val="0"/>
          <w:numId w:val="24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формування навичок правильного та здорового харчування.</w:t>
      </w:r>
      <w:r/>
    </w:p>
    <w:p>
      <w:pPr>
        <w:ind w:left="720" w:firstLine="0"/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8. КОНТРОЛЬ ЗА ВИКОНАННЯМ ПРОГРАМИ</w:t>
      </w:r>
      <w:r/>
    </w:p>
    <w:p>
      <w:pPr>
        <w:ind w:left="0" w:right="0"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Організація виконання Програми покладається на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 освіти Менської міської ради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Комунальну установу «Центр з обслуговування освітніх установ та закладів освіти»,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адміністрації  закладів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дошкільної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освіти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ТГ.</w:t>
      </w:r>
      <w:r/>
    </w:p>
    <w:p>
      <w:pPr>
        <w:ind w:left="0" w:right="0" w:firstLine="567"/>
        <w:jc w:val="both"/>
        <w:spacing w:lineRule="auto" w:line="240" w:after="0" w:afterAutospacing="0"/>
        <w:shd w:val="clear" w:fill="FFFFFF" w:color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ходом реалізації Програми здійснює постійна комісія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міської ради з питань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охорони здоров’я, соціального захисту населення, освіти, культури, молоді, фізкультури і спорту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заступник</w:t>
      </w:r>
      <w:r>
        <w:rPr>
          <w:rFonts w:ascii="Times New Roman" w:hAnsi="Times New Roman"/>
          <w:sz w:val="28"/>
          <w:szCs w:val="28"/>
        </w:rPr>
        <w:t xml:space="preserve"> міського голови з питань діяльності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виконавчих органів </w:t>
      </w:r>
      <w:r>
        <w:rPr>
          <w:rFonts w:ascii="Times New Roman" w:hAnsi="Times New Roman"/>
          <w:sz w:val="28"/>
          <w:szCs w:val="28"/>
        </w:rPr>
        <w:t xml:space="preserve">ради згідно з розподілом функціональних обов’язків.</w:t>
      </w:r>
      <w:r/>
    </w:p>
    <w:p>
      <w:pPr>
        <w:ind w:left="0" w:right="0" w:firstLine="567"/>
        <w:jc w:val="both"/>
        <w:spacing w:lineRule="auto" w:line="240" w:after="0" w:afterAutospacing="0"/>
        <w:shd w:val="clear" w:fill="FFFFFF" w:color="auto"/>
        <w:tabs>
          <w:tab w:val="left" w:pos="56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ind w:left="0" w:right="0" w:firstLine="0"/>
        <w:jc w:val="both"/>
        <w:spacing w:lineRule="auto" w:line="240" w:after="0" w:afterAutospacing="0"/>
        <w:shd w:val="clear" w:fill="FFFFFF" w:color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Відділу освіти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/>
        <w:shd w:val="clear" w:fill="FFFFFF" w:color="auto"/>
        <w:tabs>
          <w:tab w:val="left" w:pos="56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ab/>
        <w:tab/>
        <w:t xml:space="preserve">                                   </w:t>
        <w:tab/>
        <w:t xml:space="preserve">Ірина ЛУК’ЯНЕНКО</w:t>
      </w:r>
      <w:r>
        <w:rPr>
          <w:rFonts w:ascii="Times New Roman" w:hAnsi="Times New Roman" w:eastAsia="Times New Roman"/>
          <w:color w:val="1F497D" w:themeColor="text2"/>
          <w:sz w:val="28"/>
          <w:szCs w:val="28"/>
          <w:lang w:eastAsia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6030504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jc w:val="right"/>
      <w:rPr>
        <w:rFonts w:ascii="Times New Roman" w:hAnsi="Times New Roman" w:cs="Times New Roman" w:eastAsia="Times New Roman"/>
        <w:i/>
      </w:rPr>
    </w:pPr>
    <w:fldSimple w:instr="PAGE \* MERGEFORMAT">
      <w:r>
        <w:rPr>
          <w:rFonts w:ascii="Times New Roman" w:hAnsi="Times New Roman" w:cs="Times New Roman" w:eastAsia="Times New Roman"/>
          <w:i/>
        </w:rPr>
        <w:t xml:space="preserve">1</w:t>
      </w:r>
    </w:fldSimple>
    <w:r>
      <w:rPr>
        <w:rFonts w:ascii="Times New Roman" w:hAnsi="Times New Roman" w:cs="Times New Roman" w:eastAsia="Times New Roman"/>
        <w:i/>
      </w:rPr>
    </w:r>
    <w:r>
      <w:rPr>
        <w:rFonts w:ascii="Times New Roman" w:hAnsi="Times New Roman" w:cs="Times New Roman" w:eastAsia="Times New Roman"/>
        <w:i/>
      </w:rPr>
      <w:t xml:space="preserve">                                             продовження додатка</w:t>
    </w:r>
    <w:r>
      <w:rPr>
        <w:rFonts w:ascii="Times New Roman" w:hAnsi="Times New Roman" w:cs="Times New Roman" w:eastAsia="Times New Roman"/>
        <w:i/>
      </w:rPr>
    </w:r>
    <w:r/>
  </w:p>
  <w:p>
    <w:pPr>
      <w:pStyle w:val="893"/>
      <w:jc w:val="right"/>
      <w:rPr>
        <w:rFonts w:ascii="Times New Roman" w:hAnsi="Times New Roman" w:cs="Times New Roman" w:eastAsia="Times New Roman"/>
        <w:i/>
      </w:rPr>
    </w:pPr>
    <w:r>
      <w:rPr>
        <w:rFonts w:ascii="Times New Roman" w:hAnsi="Times New Roman" w:cs="Times New Roman" w:eastAsia="Times New Roman"/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19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63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335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407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479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551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623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95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7679" w:hanging="179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59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1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1" w:hanging="180"/>
      </w:pPr>
    </w:lvl>
  </w:abstractNum>
  <w:abstractNum w:abstractNumId="23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59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"/>
  </w:num>
  <w:num w:numId="5">
    <w:abstractNumId w:val="15"/>
  </w:num>
  <w:num w:numId="6">
    <w:abstractNumId w:val="12"/>
  </w:num>
  <w:num w:numId="7">
    <w:abstractNumId w:val="23"/>
  </w:num>
  <w:num w:numId="8">
    <w:abstractNumId w:val="8"/>
  </w:num>
  <w:num w:numId="9">
    <w:abstractNumId w:val="18"/>
  </w:num>
  <w:num w:numId="10">
    <w:abstractNumId w:val="24"/>
  </w:num>
  <w:num w:numId="11">
    <w:abstractNumId w:val="16"/>
  </w:num>
  <w:num w:numId="12">
    <w:abstractNumId w:val="9"/>
  </w:num>
  <w:num w:numId="13">
    <w:abstractNumId w:val="0"/>
  </w:num>
  <w:num w:numId="14">
    <w:abstractNumId w:val="13"/>
  </w:num>
  <w:num w:numId="15">
    <w:abstractNumId w:val="2"/>
  </w:num>
  <w:num w:numId="16">
    <w:abstractNumId w:val="10"/>
  </w:num>
  <w:num w:numId="17">
    <w:abstractNumId w:val="21"/>
  </w:num>
  <w:num w:numId="18">
    <w:abstractNumId w:val="7"/>
  </w:num>
  <w:num w:numId="19">
    <w:abstractNumId w:val="3"/>
  </w:num>
  <w:num w:numId="20">
    <w:abstractNumId w:val="25"/>
  </w:num>
  <w:num w:numId="21">
    <w:abstractNumId w:val="11"/>
  </w:num>
  <w:num w:numId="22">
    <w:abstractNumId w:val="6"/>
  </w:num>
  <w:num w:numId="23">
    <w:abstractNumId w:val="17"/>
  </w:num>
  <w:num w:numId="24">
    <w:abstractNumId w:val="14"/>
  </w:num>
  <w:num w:numId="25">
    <w:abstractNumId w:val="19"/>
  </w:num>
  <w:num w:numId="26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567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5">
    <w:name w:val="Heading 1 Char"/>
    <w:basedOn w:val="873"/>
    <w:link w:val="864"/>
    <w:uiPriority w:val="9"/>
    <w:rPr>
      <w:rFonts w:ascii="Arial" w:hAnsi="Arial" w:cs="Arial" w:eastAsia="Arial"/>
      <w:sz w:val="40"/>
      <w:szCs w:val="40"/>
    </w:rPr>
  </w:style>
  <w:style w:type="character" w:styleId="736">
    <w:name w:val="Heading 2 Char"/>
    <w:basedOn w:val="873"/>
    <w:link w:val="865"/>
    <w:uiPriority w:val="9"/>
    <w:rPr>
      <w:rFonts w:ascii="Arial" w:hAnsi="Arial" w:cs="Arial" w:eastAsia="Arial"/>
      <w:sz w:val="34"/>
    </w:rPr>
  </w:style>
  <w:style w:type="character" w:styleId="737">
    <w:name w:val="Heading 3 Char"/>
    <w:basedOn w:val="873"/>
    <w:link w:val="866"/>
    <w:uiPriority w:val="9"/>
    <w:rPr>
      <w:rFonts w:ascii="Arial" w:hAnsi="Arial" w:cs="Arial" w:eastAsia="Arial"/>
      <w:sz w:val="30"/>
      <w:szCs w:val="30"/>
    </w:rPr>
  </w:style>
  <w:style w:type="character" w:styleId="738">
    <w:name w:val="Heading 4 Char"/>
    <w:basedOn w:val="873"/>
    <w:link w:val="867"/>
    <w:uiPriority w:val="9"/>
    <w:rPr>
      <w:rFonts w:ascii="Arial" w:hAnsi="Arial" w:cs="Arial" w:eastAsia="Arial"/>
      <w:b/>
      <w:bCs/>
      <w:sz w:val="26"/>
      <w:szCs w:val="26"/>
    </w:rPr>
  </w:style>
  <w:style w:type="character" w:styleId="739">
    <w:name w:val="Heading 5 Char"/>
    <w:basedOn w:val="873"/>
    <w:link w:val="868"/>
    <w:uiPriority w:val="9"/>
    <w:rPr>
      <w:rFonts w:ascii="Arial" w:hAnsi="Arial" w:cs="Arial" w:eastAsia="Arial"/>
      <w:b/>
      <w:bCs/>
      <w:sz w:val="24"/>
      <w:szCs w:val="24"/>
    </w:rPr>
  </w:style>
  <w:style w:type="character" w:styleId="740">
    <w:name w:val="Heading 6 Char"/>
    <w:basedOn w:val="873"/>
    <w:link w:val="869"/>
    <w:uiPriority w:val="9"/>
    <w:rPr>
      <w:rFonts w:ascii="Arial" w:hAnsi="Arial" w:cs="Arial" w:eastAsia="Arial"/>
      <w:b/>
      <w:bCs/>
      <w:sz w:val="22"/>
      <w:szCs w:val="22"/>
    </w:rPr>
  </w:style>
  <w:style w:type="character" w:styleId="741">
    <w:name w:val="Heading 7 Char"/>
    <w:basedOn w:val="873"/>
    <w:link w:val="8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2">
    <w:name w:val="Heading 8 Char"/>
    <w:basedOn w:val="873"/>
    <w:link w:val="871"/>
    <w:uiPriority w:val="9"/>
    <w:rPr>
      <w:rFonts w:ascii="Arial" w:hAnsi="Arial" w:cs="Arial" w:eastAsia="Arial"/>
      <w:i/>
      <w:iCs/>
      <w:sz w:val="22"/>
      <w:szCs w:val="22"/>
    </w:rPr>
  </w:style>
  <w:style w:type="character" w:styleId="743">
    <w:name w:val="Heading 9 Char"/>
    <w:basedOn w:val="873"/>
    <w:link w:val="872"/>
    <w:uiPriority w:val="9"/>
    <w:rPr>
      <w:rFonts w:ascii="Arial" w:hAnsi="Arial" w:cs="Arial" w:eastAsia="Arial"/>
      <w:i/>
      <w:iCs/>
      <w:sz w:val="21"/>
      <w:szCs w:val="21"/>
    </w:rPr>
  </w:style>
  <w:style w:type="character" w:styleId="744">
    <w:name w:val="Title Char"/>
    <w:basedOn w:val="873"/>
    <w:link w:val="885"/>
    <w:uiPriority w:val="10"/>
    <w:rPr>
      <w:sz w:val="48"/>
      <w:szCs w:val="48"/>
    </w:rPr>
  </w:style>
  <w:style w:type="character" w:styleId="745">
    <w:name w:val="Subtitle Char"/>
    <w:basedOn w:val="873"/>
    <w:link w:val="887"/>
    <w:uiPriority w:val="11"/>
    <w:rPr>
      <w:sz w:val="24"/>
      <w:szCs w:val="24"/>
    </w:rPr>
  </w:style>
  <w:style w:type="character" w:styleId="746">
    <w:name w:val="Quote Char"/>
    <w:link w:val="889"/>
    <w:uiPriority w:val="29"/>
    <w:rPr>
      <w:i/>
    </w:rPr>
  </w:style>
  <w:style w:type="character" w:styleId="747">
    <w:name w:val="Intense Quote Char"/>
    <w:link w:val="891"/>
    <w:uiPriority w:val="30"/>
    <w:rPr>
      <w:i/>
    </w:rPr>
  </w:style>
  <w:style w:type="character" w:styleId="748">
    <w:name w:val="Header Char"/>
    <w:basedOn w:val="873"/>
    <w:link w:val="893"/>
    <w:uiPriority w:val="99"/>
  </w:style>
  <w:style w:type="character" w:styleId="749">
    <w:name w:val="Footer Char"/>
    <w:basedOn w:val="873"/>
    <w:link w:val="895"/>
    <w:uiPriority w:val="99"/>
  </w:style>
  <w:style w:type="paragraph" w:styleId="750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1">
    <w:name w:val="Caption Char"/>
    <w:basedOn w:val="750"/>
    <w:link w:val="895"/>
    <w:uiPriority w:val="99"/>
  </w:style>
  <w:style w:type="table" w:styleId="752">
    <w:name w:val="Table Grid Light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Plain Table 1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8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>
    <w:name w:val="Grid Table 4 - Accent 1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1">
    <w:name w:val="Grid Table 4 - Accent 2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Grid Table 4 - Accent 3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3">
    <w:name w:val="Grid Table 4 - Accent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Grid Table 4 - Accent 5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5">
    <w:name w:val="Grid Table 4 - Accent 6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6">
    <w:name w:val="Grid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7">
    <w:name w:val="Grid Table 5 Dark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9">
    <w:name w:val="Grid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0">
    <w:name w:val="Grid Table 5 Dark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91">
    <w:name w:val="Grid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92">
    <w:name w:val="Grid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93">
    <w:name w:val="Grid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4">
    <w:name w:val="Grid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5">
    <w:name w:val="Grid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6">
    <w:name w:val="Grid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7">
    <w:name w:val="Grid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8">
    <w:name w:val="Grid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5">
    <w:name w:val="List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6">
    <w:name w:val="List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7">
    <w:name w:val="List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8">
    <w:name w:val="List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9">
    <w:name w:val="List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0">
    <w:name w:val="List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1">
    <w:name w:val="List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3">
    <w:name w:val="List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4">
    <w:name w:val="List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5">
    <w:name w:val="List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6">
    <w:name w:val="List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7">
    <w:name w:val="List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8">
    <w:name w:val="List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9">
    <w:name w:val="List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0">
    <w:name w:val="List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1">
    <w:name w:val="List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2">
    <w:name w:val="List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3">
    <w:name w:val="List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4">
    <w:name w:val="List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5">
    <w:name w:val="List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6">
    <w:name w:val="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7">
    <w:name w:val="Bordered &amp; 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character" w:styleId="858">
    <w:name w:val="Footnote Text Char"/>
    <w:link w:val="919"/>
    <w:uiPriority w:val="99"/>
    <w:rPr>
      <w:sz w:val="18"/>
    </w:rPr>
  </w:style>
  <w:style w:type="paragraph" w:styleId="859">
    <w:name w:val="endnote text"/>
    <w:basedOn w:val="86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3"/>
    <w:uiPriority w:val="99"/>
    <w:semiHidden/>
    <w:unhideWhenUsed/>
    <w:rPr>
      <w:vertAlign w:val="superscript"/>
    </w:rPr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cs="Times New Roman"/>
    </w:rPr>
    <w:pPr>
      <w:spacing w:lineRule="auto" w:line="259" w:after="160"/>
    </w:pPr>
  </w:style>
  <w:style w:type="paragraph" w:styleId="864">
    <w:name w:val="Heading 1"/>
    <w:basedOn w:val="863"/>
    <w:next w:val="863"/>
    <w:link w:val="8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65">
    <w:name w:val="Heading 2"/>
    <w:basedOn w:val="863"/>
    <w:next w:val="863"/>
    <w:link w:val="8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66">
    <w:name w:val="Heading 3"/>
    <w:basedOn w:val="863"/>
    <w:next w:val="863"/>
    <w:link w:val="8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67">
    <w:name w:val="Heading 4"/>
    <w:basedOn w:val="863"/>
    <w:next w:val="863"/>
    <w:link w:val="8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8">
    <w:name w:val="Heading 5"/>
    <w:basedOn w:val="863"/>
    <w:next w:val="863"/>
    <w:link w:val="8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9">
    <w:name w:val="Heading 6"/>
    <w:basedOn w:val="863"/>
    <w:next w:val="863"/>
    <w:link w:val="88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70">
    <w:name w:val="Heading 7"/>
    <w:basedOn w:val="863"/>
    <w:next w:val="863"/>
    <w:link w:val="88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1">
    <w:name w:val="Heading 8"/>
    <w:basedOn w:val="863"/>
    <w:next w:val="863"/>
    <w:link w:val="88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72">
    <w:name w:val="Heading 9"/>
    <w:basedOn w:val="863"/>
    <w:next w:val="863"/>
    <w:link w:val="8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character" w:styleId="876" w:customStyle="1">
    <w:name w:val="Заголовок 1 Знак"/>
    <w:basedOn w:val="873"/>
    <w:link w:val="864"/>
    <w:uiPriority w:val="9"/>
    <w:rPr>
      <w:rFonts w:ascii="Arial" w:hAnsi="Arial" w:cs="Arial" w:eastAsia="Arial"/>
      <w:sz w:val="40"/>
      <w:szCs w:val="40"/>
    </w:rPr>
  </w:style>
  <w:style w:type="character" w:styleId="877" w:customStyle="1">
    <w:name w:val="Заголовок 2 Знак"/>
    <w:basedOn w:val="873"/>
    <w:link w:val="865"/>
    <w:uiPriority w:val="9"/>
    <w:rPr>
      <w:rFonts w:ascii="Arial" w:hAnsi="Arial" w:cs="Arial" w:eastAsia="Arial"/>
      <w:sz w:val="34"/>
    </w:rPr>
  </w:style>
  <w:style w:type="character" w:styleId="878" w:customStyle="1">
    <w:name w:val="Заголовок 3 Знак"/>
    <w:basedOn w:val="873"/>
    <w:link w:val="866"/>
    <w:uiPriority w:val="9"/>
    <w:rPr>
      <w:rFonts w:ascii="Arial" w:hAnsi="Arial" w:cs="Arial" w:eastAsia="Arial"/>
      <w:sz w:val="30"/>
      <w:szCs w:val="30"/>
    </w:rPr>
  </w:style>
  <w:style w:type="character" w:styleId="879" w:customStyle="1">
    <w:name w:val="Заголовок 4 Знак"/>
    <w:basedOn w:val="873"/>
    <w:link w:val="867"/>
    <w:uiPriority w:val="9"/>
    <w:rPr>
      <w:rFonts w:ascii="Arial" w:hAnsi="Arial" w:cs="Arial" w:eastAsia="Arial"/>
      <w:b/>
      <w:bCs/>
      <w:sz w:val="26"/>
      <w:szCs w:val="26"/>
    </w:rPr>
  </w:style>
  <w:style w:type="character" w:styleId="880" w:customStyle="1">
    <w:name w:val="Заголовок 5 Знак"/>
    <w:basedOn w:val="873"/>
    <w:link w:val="868"/>
    <w:uiPriority w:val="9"/>
    <w:rPr>
      <w:rFonts w:ascii="Arial" w:hAnsi="Arial" w:cs="Arial" w:eastAsia="Arial"/>
      <w:b/>
      <w:bCs/>
      <w:sz w:val="24"/>
      <w:szCs w:val="24"/>
    </w:rPr>
  </w:style>
  <w:style w:type="character" w:styleId="881" w:customStyle="1">
    <w:name w:val="Заголовок 6 Знак"/>
    <w:basedOn w:val="873"/>
    <w:link w:val="869"/>
    <w:uiPriority w:val="9"/>
    <w:rPr>
      <w:rFonts w:ascii="Arial" w:hAnsi="Arial" w:cs="Arial" w:eastAsia="Arial"/>
      <w:b/>
      <w:bCs/>
      <w:sz w:val="22"/>
      <w:szCs w:val="22"/>
    </w:rPr>
  </w:style>
  <w:style w:type="character" w:styleId="882" w:customStyle="1">
    <w:name w:val="Заголовок 7 Знак"/>
    <w:basedOn w:val="873"/>
    <w:link w:val="8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3" w:customStyle="1">
    <w:name w:val="Заголовок 8 Знак"/>
    <w:basedOn w:val="873"/>
    <w:link w:val="871"/>
    <w:uiPriority w:val="9"/>
    <w:rPr>
      <w:rFonts w:ascii="Arial" w:hAnsi="Arial" w:cs="Arial" w:eastAsia="Arial"/>
      <w:i/>
      <w:iCs/>
      <w:sz w:val="22"/>
      <w:szCs w:val="22"/>
    </w:rPr>
  </w:style>
  <w:style w:type="character" w:styleId="884" w:customStyle="1">
    <w:name w:val="Заголовок 9 Знак"/>
    <w:basedOn w:val="873"/>
    <w:link w:val="872"/>
    <w:uiPriority w:val="9"/>
    <w:rPr>
      <w:rFonts w:ascii="Arial" w:hAnsi="Arial" w:cs="Arial" w:eastAsia="Arial"/>
      <w:i/>
      <w:iCs/>
      <w:sz w:val="21"/>
      <w:szCs w:val="21"/>
    </w:rPr>
  </w:style>
  <w:style w:type="paragraph" w:styleId="885">
    <w:name w:val="Title"/>
    <w:basedOn w:val="863"/>
    <w:next w:val="863"/>
    <w:link w:val="8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86" w:customStyle="1">
    <w:name w:val="Назва Знак"/>
    <w:basedOn w:val="873"/>
    <w:link w:val="885"/>
    <w:uiPriority w:val="10"/>
    <w:rPr>
      <w:sz w:val="48"/>
      <w:szCs w:val="48"/>
    </w:rPr>
  </w:style>
  <w:style w:type="paragraph" w:styleId="887">
    <w:name w:val="Subtitle"/>
    <w:basedOn w:val="863"/>
    <w:next w:val="863"/>
    <w:link w:val="888"/>
    <w:qFormat/>
    <w:uiPriority w:val="11"/>
    <w:rPr>
      <w:sz w:val="24"/>
      <w:szCs w:val="24"/>
    </w:rPr>
    <w:pPr>
      <w:spacing w:after="200" w:before="200"/>
    </w:pPr>
  </w:style>
  <w:style w:type="character" w:styleId="888" w:customStyle="1">
    <w:name w:val="Підзаголовок Знак"/>
    <w:basedOn w:val="873"/>
    <w:link w:val="887"/>
    <w:uiPriority w:val="11"/>
    <w:rPr>
      <w:sz w:val="24"/>
      <w:szCs w:val="24"/>
    </w:rPr>
  </w:style>
  <w:style w:type="paragraph" w:styleId="889">
    <w:name w:val="Quote"/>
    <w:basedOn w:val="863"/>
    <w:next w:val="863"/>
    <w:link w:val="890"/>
    <w:qFormat/>
    <w:uiPriority w:val="29"/>
    <w:rPr>
      <w:i/>
    </w:rPr>
    <w:pPr>
      <w:ind w:left="720" w:right="720"/>
    </w:pPr>
  </w:style>
  <w:style w:type="character" w:styleId="890" w:customStyle="1">
    <w:name w:val="Цитата Знак"/>
    <w:link w:val="889"/>
    <w:uiPriority w:val="29"/>
    <w:rPr>
      <w:i/>
    </w:rPr>
  </w:style>
  <w:style w:type="paragraph" w:styleId="891">
    <w:name w:val="Intense Quote"/>
    <w:basedOn w:val="863"/>
    <w:next w:val="863"/>
    <w:link w:val="8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2" w:customStyle="1">
    <w:name w:val="Насичена цитата Знак"/>
    <w:link w:val="891"/>
    <w:uiPriority w:val="30"/>
    <w:rPr>
      <w:i/>
    </w:rPr>
  </w:style>
  <w:style w:type="paragraph" w:styleId="893">
    <w:name w:val="Header"/>
    <w:basedOn w:val="863"/>
    <w:link w:val="8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4" w:customStyle="1">
    <w:name w:val="Верхній колонтитул Знак"/>
    <w:basedOn w:val="873"/>
    <w:link w:val="893"/>
    <w:uiPriority w:val="99"/>
  </w:style>
  <w:style w:type="paragraph" w:styleId="895">
    <w:name w:val="Footer"/>
    <w:basedOn w:val="863"/>
    <w:link w:val="8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6" w:customStyle="1">
    <w:name w:val="Нижній колонтитул Знак"/>
    <w:basedOn w:val="873"/>
    <w:link w:val="895"/>
    <w:uiPriority w:val="99"/>
  </w:style>
  <w:style w:type="table" w:styleId="897" w:customStyle="1">
    <w:name w:val="Lined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Lined - Accent 1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9" w:customStyle="1">
    <w:name w:val="Lined - Accent 2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0" w:customStyle="1">
    <w:name w:val="Lined - Accent 3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1" w:customStyle="1">
    <w:name w:val="Lined - Accent 4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2" w:customStyle="1">
    <w:name w:val="Lined - Accent 5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3" w:customStyle="1">
    <w:name w:val="Lined - Accent 6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4" w:customStyle="1">
    <w:name w:val="Bordered"/>
    <w:basedOn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05" w:customStyle="1">
    <w:name w:val="Bordered - Accent 1"/>
    <w:basedOn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06" w:customStyle="1">
    <w:name w:val="Bordered - Accent 2"/>
    <w:basedOn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07" w:customStyle="1">
    <w:name w:val="Bordered - Accent 3"/>
    <w:basedOn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08" w:customStyle="1">
    <w:name w:val="Bordered - Accent 4"/>
    <w:basedOn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09" w:customStyle="1">
    <w:name w:val="Bordered - Accent 5"/>
    <w:basedOn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0" w:customStyle="1">
    <w:name w:val="Bordered - Accent 6"/>
    <w:basedOn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1" w:customStyle="1">
    <w:name w:val="Bordered &amp; Lined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2" w:customStyle="1">
    <w:name w:val="Bordered &amp; Lined - Accent 1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3" w:customStyle="1">
    <w:name w:val="Bordered &amp; Lined - Accent 2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4" w:customStyle="1">
    <w:name w:val="Bordered &amp; Lined - Accent 3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15" w:customStyle="1">
    <w:name w:val="Bordered &amp; Lined - Accent 4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6" w:customStyle="1">
    <w:name w:val="Bordered &amp; Lined - Accent 5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7" w:customStyle="1">
    <w:name w:val="Bordered &amp; Lined - Accent 6"/>
    <w:basedOn w:val="8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18">
    <w:name w:val="Hyperlink"/>
    <w:uiPriority w:val="99"/>
    <w:unhideWhenUsed/>
    <w:rPr>
      <w:color w:val="0000FF" w:themeColor="hyperlink"/>
      <w:u w:val="single"/>
    </w:rPr>
  </w:style>
  <w:style w:type="paragraph" w:styleId="919">
    <w:name w:val="footnote text"/>
    <w:basedOn w:val="863"/>
    <w:link w:val="920"/>
    <w:uiPriority w:val="99"/>
    <w:semiHidden/>
    <w:unhideWhenUsed/>
    <w:rPr>
      <w:sz w:val="18"/>
    </w:rPr>
    <w:pPr>
      <w:spacing w:lineRule="auto" w:line="240" w:after="40"/>
    </w:pPr>
  </w:style>
  <w:style w:type="character" w:styleId="920" w:customStyle="1">
    <w:name w:val="Текст виноски Знак"/>
    <w:link w:val="919"/>
    <w:uiPriority w:val="99"/>
    <w:rPr>
      <w:sz w:val="18"/>
    </w:rPr>
  </w:style>
  <w:style w:type="character" w:styleId="921">
    <w:name w:val="footnote reference"/>
    <w:basedOn w:val="873"/>
    <w:uiPriority w:val="99"/>
    <w:unhideWhenUsed/>
    <w:rPr>
      <w:vertAlign w:val="superscript"/>
    </w:rPr>
  </w:style>
  <w:style w:type="paragraph" w:styleId="922">
    <w:name w:val="toc 1"/>
    <w:basedOn w:val="863"/>
    <w:next w:val="863"/>
    <w:uiPriority w:val="39"/>
    <w:unhideWhenUsed/>
    <w:pPr>
      <w:spacing w:after="57"/>
    </w:pPr>
  </w:style>
  <w:style w:type="paragraph" w:styleId="923">
    <w:name w:val="toc 2"/>
    <w:basedOn w:val="863"/>
    <w:next w:val="863"/>
    <w:uiPriority w:val="39"/>
    <w:unhideWhenUsed/>
    <w:pPr>
      <w:ind w:left="283"/>
      <w:spacing w:after="57"/>
    </w:pPr>
  </w:style>
  <w:style w:type="paragraph" w:styleId="924">
    <w:name w:val="toc 3"/>
    <w:basedOn w:val="863"/>
    <w:next w:val="863"/>
    <w:uiPriority w:val="39"/>
    <w:unhideWhenUsed/>
    <w:pPr>
      <w:ind w:left="567"/>
      <w:spacing w:after="57"/>
    </w:pPr>
  </w:style>
  <w:style w:type="paragraph" w:styleId="925">
    <w:name w:val="toc 4"/>
    <w:basedOn w:val="863"/>
    <w:next w:val="863"/>
    <w:uiPriority w:val="39"/>
    <w:unhideWhenUsed/>
    <w:pPr>
      <w:ind w:left="850"/>
      <w:spacing w:after="57"/>
    </w:pPr>
  </w:style>
  <w:style w:type="paragraph" w:styleId="926">
    <w:name w:val="toc 5"/>
    <w:basedOn w:val="863"/>
    <w:next w:val="863"/>
    <w:uiPriority w:val="39"/>
    <w:unhideWhenUsed/>
    <w:pPr>
      <w:ind w:left="1134"/>
      <w:spacing w:after="57"/>
    </w:pPr>
  </w:style>
  <w:style w:type="paragraph" w:styleId="927">
    <w:name w:val="toc 6"/>
    <w:basedOn w:val="863"/>
    <w:next w:val="863"/>
    <w:uiPriority w:val="39"/>
    <w:unhideWhenUsed/>
    <w:pPr>
      <w:ind w:left="1417"/>
      <w:spacing w:after="57"/>
    </w:pPr>
  </w:style>
  <w:style w:type="paragraph" w:styleId="928">
    <w:name w:val="toc 7"/>
    <w:basedOn w:val="863"/>
    <w:next w:val="863"/>
    <w:uiPriority w:val="39"/>
    <w:unhideWhenUsed/>
    <w:pPr>
      <w:ind w:left="1701"/>
      <w:spacing w:after="57"/>
    </w:pPr>
  </w:style>
  <w:style w:type="paragraph" w:styleId="929">
    <w:name w:val="toc 8"/>
    <w:basedOn w:val="863"/>
    <w:next w:val="863"/>
    <w:uiPriority w:val="39"/>
    <w:unhideWhenUsed/>
    <w:pPr>
      <w:ind w:left="1984"/>
      <w:spacing w:after="57"/>
    </w:pPr>
  </w:style>
  <w:style w:type="paragraph" w:styleId="930">
    <w:name w:val="toc 9"/>
    <w:basedOn w:val="863"/>
    <w:next w:val="863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</w:style>
  <w:style w:type="paragraph" w:styleId="932">
    <w:name w:val="Balloon Text"/>
    <w:basedOn w:val="863"/>
    <w:link w:val="93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33" w:customStyle="1">
    <w:name w:val="Текст у виносці Знак"/>
    <w:basedOn w:val="873"/>
    <w:link w:val="932"/>
    <w:uiPriority w:val="99"/>
    <w:semiHidden/>
    <w:rPr>
      <w:rFonts w:ascii="Tahoma" w:hAnsi="Tahoma" w:cs="Tahoma" w:eastAsia="Calibri"/>
      <w:sz w:val="16"/>
      <w:szCs w:val="16"/>
    </w:rPr>
  </w:style>
  <w:style w:type="paragraph" w:styleId="934">
    <w:name w:val="Normal (Web)"/>
    <w:basedOn w:val="863"/>
    <w:uiPriority w:val="99"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35" w:customStyle="1">
    <w:name w:val="docdata"/>
    <w:basedOn w:val="863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36" w:customStyle="1">
    <w:name w:val="4386"/>
    <w:basedOn w:val="873"/>
  </w:style>
  <w:style w:type="table" w:styleId="937">
    <w:name w:val="Table Grid"/>
    <w:basedOn w:val="874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938">
    <w:name w:val="List Paragraph"/>
    <w:basedOn w:val="863"/>
    <w:qFormat/>
    <w:uiPriority w:val="34"/>
    <w:pPr>
      <w:contextualSpacing w:val="true"/>
      <w:ind w:left="720"/>
    </w:pPr>
  </w:style>
  <w:style w:type="paragraph" w:styleId="939">
    <w:name w:val="HTML Preformatted"/>
    <w:basedOn w:val="863"/>
    <w:link w:val="940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40" w:customStyle="1">
    <w:name w:val="Стандартний HTML Знак"/>
    <w:basedOn w:val="873"/>
    <w:link w:val="939"/>
    <w:uiPriority w:val="99"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41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942">
    <w:name w:val="Body Text Indent"/>
    <w:basedOn w:val="863"/>
    <w:link w:val="943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943" w:customStyle="1">
    <w:name w:val="Основний текст з відступом Знак"/>
    <w:basedOn w:val="873"/>
    <w:link w:val="942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944" w:customStyle="1">
    <w:name w:val="1332"/>
    <w:basedOn w:val="873"/>
  </w:style>
  <w:style w:type="character" w:styleId="945" w:customStyle="1">
    <w:name w:val="4247"/>
    <w:basedOn w:val="873"/>
  </w:style>
  <w:style w:type="character" w:styleId="946" w:customStyle="1">
    <w:name w:val="4285"/>
    <w:basedOn w:val="873"/>
  </w:style>
  <w:style w:type="paragraph" w:styleId="947" w:customStyle="1">
    <w:name w:val="rvps2"/>
    <w:basedOn w:val="863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48">
    <w:name w:val="Strong"/>
    <w:basedOn w:val="873"/>
    <w:qFormat/>
    <w:uiPriority w:val="22"/>
    <w:rPr>
      <w:b/>
      <w:bCs/>
    </w:rPr>
  </w:style>
  <w:style w:type="character" w:styleId="949" w:customStyle="1">
    <w:name w:val="5727"/>
    <w:basedOn w:val="87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zakon.rada.gov.ua/laws/show/1768-14" TargetMode="External"/><Relationship Id="rId15" Type="http://schemas.openxmlformats.org/officeDocument/2006/relationships/hyperlink" Target="https://zakon.rada.gov.ua/laws/show/796-12" TargetMode="External"/><Relationship Id="rId16" Type="http://schemas.openxmlformats.org/officeDocument/2006/relationships/hyperlink" Target="https://zakon.rada.gov.ua/laws/show/3551-12" TargetMode="External"/><Relationship Id="rId17" Type="http://schemas.openxmlformats.org/officeDocument/2006/relationships/hyperlink" Target="https://zakon.rada.gov.ua/laws/show/1768-14" TargetMode="External"/><Relationship Id="rId18" Type="http://schemas.openxmlformats.org/officeDocument/2006/relationships/hyperlink" Target="https://zakon.rada.gov.ua/laws/show/796-12" TargetMode="External"/><Relationship Id="rId19" Type="http://schemas.openxmlformats.org/officeDocument/2006/relationships/hyperlink" Target="https://zakon.rada.gov.ua/laws/show/3551-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142</cp:revision>
  <dcterms:created xsi:type="dcterms:W3CDTF">2021-11-04T07:15:00Z</dcterms:created>
  <dcterms:modified xsi:type="dcterms:W3CDTF">2021-11-27T15:56:40Z</dcterms:modified>
</cp:coreProperties>
</file>