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left="5954"/>
        <w:jc w:val="both"/>
        <w:spacing w:lineRule="auto" w:line="240" w:after="0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  <w:lang w:eastAsia="ru-RU"/>
        </w:rPr>
        <w:t xml:space="preserve">Додаток</w:t>
      </w:r>
      <w:r>
        <w:rPr>
          <w:sz w:val="28"/>
        </w:rPr>
      </w:r>
      <w:r/>
    </w:p>
    <w:p>
      <w:pPr>
        <w:ind w:left="5954"/>
        <w:jc w:val="both"/>
        <w:spacing w:lineRule="auto" w:line="240" w:after="0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  <w:lang w:eastAsia="ru-RU"/>
        </w:rPr>
        <w:t xml:space="preserve">до рішення виконавчого комітету </w:t>
      </w:r>
      <w:r>
        <w:rPr>
          <w:rFonts w:ascii="Times New Roman" w:hAnsi="Times New Roman"/>
          <w:bCs/>
          <w:iCs/>
          <w:sz w:val="28"/>
          <w:lang w:eastAsia="ru-RU"/>
        </w:rPr>
        <w:t xml:space="preserve">Менської міської ради</w:t>
      </w:r>
      <w:r>
        <w:rPr>
          <w:sz w:val="28"/>
        </w:rPr>
      </w:r>
      <w:r/>
    </w:p>
    <w:p>
      <w:pPr>
        <w:ind w:left="5954"/>
        <w:jc w:val="both"/>
        <w:spacing w:lineRule="auto" w:line="240" w:after="0"/>
        <w:rPr>
          <w:rFonts w:ascii="Times New Roman" w:hAnsi="Times New Roman" w:eastAsia="Batang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  <w:lang w:eastAsia="ru-RU"/>
        </w:rPr>
        <w:t xml:space="preserve">23 листопада 2021 року  №</w:t>
      </w:r>
      <w:r>
        <w:rPr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361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sz w:val="48"/>
          <w:szCs w:val="48"/>
          <w:lang w:eastAsia="ru-RU"/>
        </w:rPr>
      </w:pPr>
      <w:r>
        <w:rPr>
          <w:rFonts w:ascii="Times New Roman" w:hAnsi="Times New Roman" w:eastAsia="Batang"/>
          <w:sz w:val="48"/>
          <w:szCs w:val="48"/>
          <w:lang w:eastAsia="ru-RU"/>
        </w:rPr>
      </w:r>
      <w:r/>
    </w:p>
    <w:p>
      <w:pPr>
        <w:jc w:val="center"/>
        <w:spacing w:lineRule="auto" w:line="276" w:after="0"/>
        <w:rPr>
          <w:rFonts w:ascii="Times New Roman" w:hAnsi="Times New Roman" w:eastAsia="Batang"/>
          <w:b/>
          <w:sz w:val="36"/>
          <w:szCs w:val="36"/>
          <w:lang w:eastAsia="ru-RU"/>
        </w:rPr>
      </w:pPr>
      <w:r>
        <w:rPr>
          <w:rFonts w:ascii="Times New Roman" w:hAnsi="Times New Roman" w:eastAsia="Batang"/>
          <w:b/>
          <w:sz w:val="36"/>
          <w:szCs w:val="36"/>
          <w:lang w:eastAsia="ru-RU"/>
        </w:rPr>
        <w:t xml:space="preserve">ПРОЄКТ ПРОГРАМИ</w:t>
      </w:r>
      <w:r/>
    </w:p>
    <w:p>
      <w:pPr>
        <w:jc w:val="center"/>
        <w:spacing w:lineRule="auto" w:line="276" w:after="0"/>
        <w:rPr>
          <w:rFonts w:ascii="Times New Roman" w:hAnsi="Times New Roman" w:eastAsia="Batang"/>
          <w:b/>
          <w:sz w:val="36"/>
          <w:szCs w:val="36"/>
          <w:lang w:eastAsia="ru-RU"/>
        </w:rPr>
      </w:pPr>
      <w:r>
        <w:rPr>
          <w:rFonts w:ascii="Times New Roman" w:hAnsi="Times New Roman" w:eastAsia="Batang"/>
          <w:b/>
          <w:sz w:val="36"/>
          <w:szCs w:val="36"/>
          <w:lang w:eastAsia="ru-RU"/>
        </w:rPr>
        <w:t xml:space="preserve">оздоровлення та літнього відпочинку дітей </w:t>
      </w:r>
      <w:r/>
    </w:p>
    <w:p>
      <w:pPr>
        <w:jc w:val="center"/>
        <w:spacing w:lineRule="auto" w:line="276" w:after="0"/>
        <w:rPr>
          <w:rFonts w:ascii="Times New Roman" w:hAnsi="Times New Roman" w:eastAsia="Batang"/>
          <w:b/>
          <w:sz w:val="36"/>
          <w:szCs w:val="36"/>
          <w:lang w:eastAsia="ru-RU"/>
        </w:rPr>
      </w:pPr>
      <w:r>
        <w:rPr>
          <w:rFonts w:ascii="Times New Roman" w:hAnsi="Times New Roman" w:eastAsia="Batang"/>
          <w:b/>
          <w:sz w:val="36"/>
          <w:szCs w:val="36"/>
          <w:lang w:eastAsia="ru-RU"/>
        </w:rPr>
        <w:t xml:space="preserve">«Різнобарвне літо» </w:t>
      </w:r>
      <w:r/>
    </w:p>
    <w:p>
      <w:pPr>
        <w:jc w:val="center"/>
        <w:spacing w:lineRule="auto" w:line="276" w:after="0"/>
        <w:rPr>
          <w:rFonts w:ascii="Times New Roman" w:hAnsi="Times New Roman" w:eastAsia="Batang"/>
          <w:b/>
          <w:iCs/>
          <w:sz w:val="36"/>
          <w:szCs w:val="36"/>
          <w:lang w:eastAsia="ru-RU"/>
        </w:rPr>
      </w:pPr>
      <w:r>
        <w:rPr>
          <w:rFonts w:ascii="Times New Roman" w:hAnsi="Times New Roman" w:eastAsia="Batang"/>
          <w:b/>
          <w:sz w:val="36"/>
          <w:szCs w:val="36"/>
          <w:lang w:eastAsia="ru-RU"/>
        </w:rPr>
        <w:t xml:space="preserve">на 202</w:t>
      </w:r>
      <w:r>
        <w:rPr>
          <w:rFonts w:ascii="Times New Roman" w:hAnsi="Times New Roman" w:eastAsia="Batang"/>
          <w:b/>
          <w:sz w:val="36"/>
          <w:szCs w:val="36"/>
          <w:lang w:val="ru-RU" w:eastAsia="ru-RU"/>
        </w:rPr>
        <w:t xml:space="preserve">2</w:t>
      </w:r>
      <w:r>
        <w:rPr>
          <w:rFonts w:ascii="Times New Roman" w:hAnsi="Times New Roman" w:eastAsia="Batang"/>
          <w:b/>
          <w:sz w:val="36"/>
          <w:szCs w:val="36"/>
          <w:lang w:eastAsia="ru-RU"/>
        </w:rPr>
        <w:t xml:space="preserve">-202</w:t>
      </w:r>
      <w:r>
        <w:rPr>
          <w:rFonts w:ascii="Times New Roman" w:hAnsi="Times New Roman" w:eastAsia="Batang"/>
          <w:b/>
          <w:sz w:val="36"/>
          <w:szCs w:val="36"/>
          <w:lang w:val="ru-RU" w:eastAsia="ru-RU"/>
        </w:rPr>
        <w:t xml:space="preserve">4</w:t>
      </w:r>
      <w:r>
        <w:rPr>
          <w:rFonts w:ascii="Times New Roman" w:hAnsi="Times New Roman" w:eastAsia="Batang"/>
          <w:b/>
          <w:sz w:val="36"/>
          <w:szCs w:val="36"/>
          <w:lang w:eastAsia="ru-RU"/>
        </w:rPr>
        <w:t xml:space="preserve"> роки</w:t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36"/>
          <w:szCs w:val="36"/>
          <w:lang w:eastAsia="ru-RU"/>
        </w:rPr>
      </w:pPr>
      <w:r>
        <w:rPr>
          <w:rFonts w:ascii="Times New Roman" w:hAnsi="Times New Roman" w:eastAsia="Batang"/>
          <w:sz w:val="36"/>
          <w:szCs w:val="36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м.Мена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20</w:t>
      </w:r>
      <w:r>
        <w:rPr>
          <w:rFonts w:ascii="Times New Roman" w:hAnsi="Times New Roman" w:eastAsia="Batang"/>
          <w:sz w:val="28"/>
          <w:szCs w:val="28"/>
          <w:lang w:val="ru-RU" w:eastAsia="ru-RU"/>
        </w:rPr>
        <w:t xml:space="preserve">21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рік</w:t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  <w:t xml:space="preserve">І. ПАСПОРТ ПРОГРАМИ</w:t>
      </w: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</w:r>
      <w:r/>
    </w:p>
    <w:tbl>
      <w:tblPr>
        <w:tblStyle w:val="879"/>
        <w:tblW w:w="5000" w:type="pct"/>
        <w:tblInd w:w="0" w:type="dxa"/>
        <w:tbl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37"/>
        <w:gridCol w:w="3328"/>
        <w:gridCol w:w="5714"/>
      </w:tblGrid>
      <w:tr>
        <w:trPr>
          <w:trHeight w:val="661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29" w:type="pct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/>
            <w:bookmarkStart w:id="0" w:name="22"/>
            <w:r/>
            <w:bookmarkStart w:id="1" w:name="20"/>
            <w:r/>
            <w:bookmarkEnd w:id="0"/>
            <w:r/>
            <w:bookmarkEnd w:id="1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719" w:type="pct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Ініціатор розроблення Програми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952" w:type="pct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Відділ освіти Менської міської ради  </w:t>
            </w:r>
            <w:r/>
          </w:p>
        </w:tc>
      </w:tr>
      <w:tr>
        <w:trPr>
          <w:trHeight w:val="215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29" w:type="pct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719" w:type="pct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Підстава для розробки Програми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952" w:type="pct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uk-UA"/>
              </w:rPr>
              <w:t xml:space="preserve">Закони України «Про освіту», «Про повну загальну середню освіту», «Про оздоровлення та відпочинок дітей», «Про охорону дитинства»,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uk-UA"/>
              </w:rPr>
              <w:t xml:space="preserve"> «Про забезпечення санітарного та епідемічного благополуччя населення»,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shd w:val="clear" w:fill="FFFFFF" w:color="auto"/>
              </w:rPr>
              <w:t xml:space="preserve">п</w:t>
            </w:r>
            <w:r>
              <w:rPr>
                <w:rFonts w:ascii="Times New Roman" w:hAnsi="Times New Roman"/>
                <w:sz w:val="26"/>
                <w:szCs w:val="26"/>
                <w:shd w:val="clear" w:fill="FFFFFF" w:color="auto"/>
              </w:rPr>
              <w:t xml:space="preserve">останова Кабінету Міністрів України від 24.03.2021 №305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uk-UA"/>
              </w:rPr>
              <w:t xml:space="preserve">«Про затвердження норм та Порядку організації харчування у закладах освіти та дитячих закладах оздоровлення та відпочинку»</w:t>
            </w:r>
            <w:r/>
          </w:p>
        </w:tc>
      </w:tr>
      <w:tr>
        <w:trPr>
          <w:trHeight w:val="215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29" w:type="pct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/>
            <w:bookmarkStart w:id="2" w:name="28"/>
            <w:r/>
            <w:bookmarkStart w:id="3" w:name="25"/>
            <w:r/>
            <w:bookmarkEnd w:id="2"/>
            <w:r/>
            <w:bookmarkEnd w:id="3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719" w:type="pct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/>
            <w:bookmarkStart w:id="4" w:name="29"/>
            <w:r/>
            <w:bookmarkEnd w:id="4"/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Розробник Програми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952" w:type="pct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/>
            <w:bookmarkStart w:id="5" w:name="30"/>
            <w:r/>
            <w:bookmarkEnd w:id="5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Відділ освіти Менської міської ради</w:t>
            </w:r>
            <w:r/>
          </w:p>
        </w:tc>
      </w:tr>
      <w:tr>
        <w:trPr>
          <w:trHeight w:val="582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29" w:type="pct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/>
            <w:bookmarkStart w:id="6" w:name="34"/>
            <w:r/>
            <w:bookmarkStart w:id="7" w:name="31"/>
            <w:r/>
            <w:bookmarkEnd w:id="6"/>
            <w:r/>
            <w:bookmarkEnd w:id="7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719" w:type="pct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/>
            <w:bookmarkStart w:id="8" w:name="35"/>
            <w:r/>
            <w:bookmarkEnd w:id="8"/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Відповідальний виконавець Програми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952" w:type="pct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/>
            <w:bookmarkStart w:id="9" w:name="36"/>
            <w:r/>
            <w:bookmarkEnd w:id="9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Відділ освіти Менської міської ради</w:t>
            </w:r>
            <w:r/>
          </w:p>
        </w:tc>
      </w:tr>
      <w:tr>
        <w:trPr>
          <w:trHeight w:val="1447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29" w:type="pct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/>
            <w:bookmarkStart w:id="10" w:name="37"/>
            <w:r/>
            <w:bookmarkEnd w:id="1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719" w:type="pct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/>
            <w:bookmarkStart w:id="11" w:name="38"/>
            <w:r/>
            <w:bookmarkEnd w:id="11"/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Учасники Програми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952" w:type="pct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/>
            <w:bookmarkStart w:id="12" w:name="39"/>
            <w:r/>
            <w:bookmarkEnd w:id="12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Відділ освіти Менської міської ради,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Комунальна установа «Центр професійного розвитку педагогічних працівників Менської міської ради»,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Комунальна установа «Центр з обслуговування освітніх установ та закладів освіти», </w:t>
            </w:r>
            <w:r>
              <w:rPr>
                <w:rStyle w:val="876"/>
                <w:rFonts w:ascii="Times New Roman" w:hAnsi="Times New Roman"/>
                <w:sz w:val="26"/>
                <w:szCs w:val="26"/>
                <w:shd w:val="clear" w:fill="FFFFFF" w:color="auto"/>
              </w:rPr>
              <w:t xml:space="preserve">Менське районне управління </w:t>
            </w:r>
            <w:r>
              <w:rPr>
                <w:rFonts w:ascii="Times New Roman" w:hAnsi="Times New Roman"/>
                <w:sz w:val="26"/>
                <w:szCs w:val="26"/>
                <w:shd w:val="clear" w:fill="FFFFFF" w:color="auto"/>
              </w:rPr>
              <w:t xml:space="preserve">Держпродспоживслужби в Чернігівській області, Менський районний відділ ДСНС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заклади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загальної середньої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освіти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29" w:type="pct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eastAsia="Batang"/>
                <w:sz w:val="28"/>
                <w:szCs w:val="28"/>
                <w:lang w:eastAsia="ru-RU"/>
              </w:rPr>
            </w:pPr>
            <w:r/>
            <w:bookmarkStart w:id="13" w:name="43"/>
            <w:r/>
            <w:bookmarkStart w:id="14" w:name="40"/>
            <w:r/>
            <w:bookmarkEnd w:id="13"/>
            <w:r/>
            <w:bookmarkEnd w:id="14"/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6</w:t>
            </w: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719" w:type="pct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Термін реалізації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Програми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952" w:type="pct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Batang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Batang"/>
                <w:sz w:val="26"/>
                <w:szCs w:val="26"/>
                <w:lang w:eastAsia="ru-RU"/>
              </w:rPr>
              <w:t xml:space="preserve">2022 – 2024 роки</w:t>
            </w:r>
            <w:r/>
          </w:p>
        </w:tc>
      </w:tr>
      <w:tr>
        <w:trPr>
          <w:trHeight w:val="1723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29" w:type="pct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eastAsia="Batang"/>
                <w:sz w:val="28"/>
                <w:szCs w:val="28"/>
                <w:lang w:eastAsia="ru-RU"/>
              </w:rPr>
            </w:pPr>
            <w:r/>
            <w:bookmarkStart w:id="15" w:name="46"/>
            <w:r/>
            <w:bookmarkEnd w:id="15"/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7</w:t>
            </w: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719" w:type="pct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/>
            <w:bookmarkStart w:id="16" w:name="47"/>
            <w:r/>
            <w:bookmarkEnd w:id="16"/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Загальний обсяг фінансових ресурсів, необхідних для реалізації Програми, всього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 тому числі: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952" w:type="pct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/>
            <w:bookmarkStart w:id="17" w:name="467"/>
            <w:r/>
            <w:bookmarkEnd w:id="17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Всього: 1591800</w:t>
            </w:r>
            <w:r/>
          </w:p>
          <w:p>
            <w:pPr>
              <w:jc w:val="center"/>
              <w:spacing w:lineRule="auto" w:line="24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2022р. - </w:t>
            </w: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477540</w:t>
            </w:r>
            <w:r/>
          </w:p>
          <w:p>
            <w:pPr>
              <w:jc w:val="center"/>
              <w:spacing w:lineRule="auto" w:line="24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2023р. - </w:t>
            </w: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530600</w:t>
            </w:r>
            <w:r/>
          </w:p>
          <w:p>
            <w:pPr>
              <w:jc w:val="center"/>
              <w:spacing w:lineRule="auto" w:line="24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2024р. - </w:t>
            </w: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583660</w:t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0" w:type="auto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Batang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7</w:t>
            </w: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.1.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719" w:type="pct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/>
            <w:bookmarkStart w:id="18" w:name="48"/>
            <w:r/>
            <w:bookmarkEnd w:id="18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ошти бюджету Менської МТГ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</w:tcBorders>
            <w:tcW w:w="2952" w:type="pct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/>
            <w:bookmarkStart w:id="19" w:name="49"/>
            <w:r/>
            <w:bookmarkEnd w:id="19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1591800</w:t>
            </w:r>
            <w:r/>
          </w:p>
          <w:p>
            <w:pPr>
              <w:jc w:val="center"/>
              <w:spacing w:lineRule="auto" w:line="24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0" w:type="auto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Batang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7</w:t>
            </w: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.2.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719" w:type="pct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кошти спеціального фонду (спонсорські кошти, надходження благодійних внесків від батьків в натуральній формі, інші джерела коштів, не заборонених законодавством)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952" w:type="pct"/>
            <w:textDirection w:val="lrTb"/>
            <w:noWrap w:val="false"/>
          </w:tcPr>
          <w:p>
            <w:pPr>
              <w:jc w:val="center"/>
              <w:spacing w:lineRule="auto" w:line="240"/>
              <w:rPr>
                <w:rStyle w:val="878"/>
                <w:rFonts w:ascii="Times New Roman" w:hAnsi="Times New Roman"/>
                <w:sz w:val="26"/>
                <w:szCs w:val="26"/>
              </w:rPr>
            </w:pPr>
            <w:r>
              <w:rPr>
                <w:rStyle w:val="878"/>
                <w:rFonts w:ascii="Times New Roman" w:hAnsi="Times New Roman"/>
                <w:sz w:val="26"/>
                <w:szCs w:val="26"/>
              </w:rPr>
              <w:t xml:space="preserve">-</w:t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Batang"/>
          <w:b/>
          <w:bCs/>
          <w:sz w:val="28"/>
          <w:szCs w:val="28"/>
          <w:highlight w:val="none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Batang"/>
          <w:b/>
          <w:bCs/>
          <w:sz w:val="28"/>
          <w:szCs w:val="28"/>
          <w:lang w:eastAsia="ru-RU"/>
        </w:rPr>
        <w:t xml:space="preserve">ІІ. Визначення проблеми, на розв’язання якої спрямована Програма</w:t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bCs/>
          <w:sz w:val="28"/>
          <w:szCs w:val="28"/>
          <w:lang w:eastAsia="ru-RU"/>
        </w:rPr>
      </w:r>
      <w:r/>
    </w:p>
    <w:p>
      <w:pPr>
        <w:pStyle w:val="873"/>
        <w:ind w:firstLine="567"/>
        <w:jc w:val="both"/>
        <w:spacing w:after="0" w:afterAutospacing="0" w:before="0" w:beforeAutospacing="0"/>
        <w:shd w:val="clear" w:fill="FFFFFF" w:color="auto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Турбота про здоров'я дітей є одним з основних показників ставлення держави до проблем підростаючого покоління.</w:t>
      </w:r>
      <w:r>
        <w:rPr>
          <w:sz w:val="28"/>
          <w:szCs w:val="28"/>
        </w:rPr>
        <w:t xml:space="preserve"> Разом з тим, на сьогоднішній день стан здоров'я дітей в Україні викликає найбільшу стурбованість. Упродовж останніх років зберігається тенденція до його погіршення, яка обумовлена впливом різних негативних факторів соціально-економічного, екологічного та </w:t>
      </w:r>
      <w:r>
        <w:rPr>
          <w:rFonts w:eastAsia="Calibri"/>
          <w:sz w:val="28"/>
          <w:szCs w:val="28"/>
        </w:rPr>
        <w:t xml:space="preserve">психо-емоційного характеру. Тому збереження здоров'я дітей України, відновлення їх життєвих сил шляхом організації якісного, повноцінного оздоровлення та відпочинку є важливим напрямком державної політики на сучасному етапі. </w:t>
      </w:r>
      <w:r>
        <w:rPr>
          <w:rFonts w:eastAsia="Calibri"/>
          <w:sz w:val="28"/>
          <w:szCs w:val="28"/>
        </w:rPr>
        <w:t xml:space="preserve">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eastAsia="uk-UA"/>
        </w:rPr>
        <w:t xml:space="preserve">жаль, через пандемію коронавірусу та карантинні обмеження, в минулому році  робота пришкіл</w:t>
      </w:r>
      <w:r>
        <w:rPr>
          <w:rFonts w:ascii="Times New Roman" w:hAnsi="Times New Roman"/>
          <w:sz w:val="28"/>
          <w:szCs w:val="28"/>
          <w:lang w:eastAsia="uk-UA"/>
        </w:rPr>
        <w:t xml:space="preserve">ьних таборів була призупинена. Проте, </w:t>
      </w:r>
      <w:r>
        <w:rPr>
          <w:rFonts w:ascii="Times New Roman" w:hAnsi="Times New Roman"/>
          <w:sz w:val="28"/>
          <w:szCs w:val="28"/>
          <w:lang w:eastAsia="uk-UA"/>
        </w:rPr>
        <w:t xml:space="preserve">влітку 2019 року в 15 пришкільних таборах Менської міської </w:t>
      </w:r>
      <w:r>
        <w:rPr>
          <w:rFonts w:ascii="Times New Roman" w:hAnsi="Times New Roman"/>
          <w:sz w:val="28"/>
          <w:szCs w:val="28"/>
          <w:lang w:eastAsia="uk-UA"/>
        </w:rPr>
        <w:t xml:space="preserve">громади</w:t>
      </w:r>
      <w:r>
        <w:rPr>
          <w:rFonts w:ascii="Times New Roman" w:hAnsi="Times New Roman"/>
          <w:sz w:val="28"/>
          <w:szCs w:val="28"/>
          <w:lang w:eastAsia="uk-UA"/>
        </w:rPr>
        <w:t xml:space="preserve"> протягом 14 відпочинкових днів було забезпечено  відпочинковими послугами 758 здобувачів освіти. </w:t>
      </w:r>
      <w:r>
        <w:rPr>
          <w:rFonts w:ascii="Times New Roman" w:hAnsi="Times New Roman"/>
          <w:sz w:val="28"/>
          <w:szCs w:val="28"/>
          <w:lang w:eastAsia="uk-UA"/>
        </w:rPr>
        <w:t xml:space="preserve">Вартість харчування у пришкільних таборах відпочинку становила 29,68 грн в день на одного учня. Всі кошти спрямовувалися на організацію харчування дітей.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Під час перебування учнів у пришкільних таборах, головна увага приділяється формуванню соціально – психологічної адаптації до дитячого колективу та зміцненню фізичного здоров'я. </w:t>
      </w:r>
      <w:r>
        <w:rPr>
          <w:rFonts w:ascii="Times New Roman" w:hAnsi="Times New Roman"/>
          <w:sz w:val="28"/>
          <w:szCs w:val="28"/>
          <w:lang w:eastAsia="uk-UA"/>
        </w:rPr>
        <w:t xml:space="preserve"> Основними оздоровчими факторами в таборах є: максимальне перебування на відкритому повітрі, рухова активність, раціональне</w:t>
      </w:r>
      <w:r>
        <w:rPr>
          <w:rFonts w:ascii="Times New Roman" w:hAnsi="Times New Roman" w:eastAsia="Times New Roman"/>
          <w:sz w:val="28"/>
          <w:szCs w:val="28"/>
        </w:rPr>
        <w:t xml:space="preserve"> харчування, чергування різних видів діяльності</w:t>
      </w:r>
      <w:r>
        <w:rPr>
          <w:rFonts w:ascii="Times New Roman" w:hAnsi="Times New Roman"/>
          <w:sz w:val="28"/>
          <w:szCs w:val="28"/>
        </w:rPr>
        <w:t xml:space="preserve">. Не менш важливим фактором залишається й організація мовних шкіл при таборах відпочинку.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Іншомовне середовище для учнів, під гаслом «канікули з користю», забезпечу</w:t>
      </w:r>
      <w:r>
        <w:rPr>
          <w:rFonts w:ascii="Times New Roman" w:hAnsi="Times New Roman"/>
          <w:sz w:val="28"/>
          <w:szCs w:val="28"/>
          <w:lang w:eastAsia="uk-UA"/>
        </w:rPr>
        <w:t xml:space="preserve">ють учителі</w:t>
      </w:r>
      <w:r>
        <w:rPr>
          <w:rFonts w:ascii="Times New Roman" w:hAnsi="Times New Roman"/>
          <w:sz w:val="28"/>
          <w:szCs w:val="28"/>
          <w:lang w:eastAsia="uk-UA"/>
        </w:rPr>
        <w:t xml:space="preserve"> англійської мови,  залучаючи   школярів до     мовних  вікторин, спортивних естафет, інтерактивних ігор, драматизації улюблених казок. О</w:t>
      </w:r>
      <w:r>
        <w:rPr>
          <w:rFonts w:ascii="Times New Roman" w:hAnsi="Times New Roman"/>
          <w:sz w:val="28"/>
          <w:szCs w:val="28"/>
          <w:lang w:eastAsia="uk-UA"/>
        </w:rPr>
        <w:t xml:space="preserve">соблива увага приділяється оздоровленню та літньому відпочинку дітей, які потребують соціального захисту. </w:t>
      </w:r>
      <w:r>
        <w:rPr>
          <w:rFonts w:ascii="Times New Roman" w:hAnsi="Times New Roman"/>
          <w:sz w:val="28"/>
          <w:szCs w:val="28"/>
          <w:lang w:eastAsia="uk-UA"/>
        </w:rPr>
        <w:t xml:space="preserve"> Не залишається поза увагою й </w:t>
      </w:r>
      <w:r>
        <w:rPr>
          <w:rFonts w:ascii="Times New Roman" w:hAnsi="Times New Roman"/>
          <w:sz w:val="28"/>
          <w:szCs w:val="28"/>
          <w:lang w:eastAsia="uk-UA"/>
        </w:rPr>
        <w:t xml:space="preserve">оздоровлення та відпочинок обдарованих</w:t>
      </w:r>
      <w:r>
        <w:rPr>
          <w:rFonts w:ascii="Times New Roman" w:hAnsi="Times New Roman"/>
          <w:sz w:val="28"/>
          <w:szCs w:val="28"/>
          <w:lang w:eastAsia="uk-UA"/>
        </w:rPr>
        <w:t xml:space="preserve"> і </w:t>
      </w:r>
      <w:r>
        <w:rPr>
          <w:rFonts w:ascii="Times New Roman" w:hAnsi="Times New Roman"/>
          <w:sz w:val="28"/>
          <w:szCs w:val="28"/>
          <w:lang w:eastAsia="uk-UA"/>
        </w:rPr>
        <w:t xml:space="preserve"> т</w:t>
      </w:r>
      <w:r>
        <w:rPr>
          <w:rFonts w:ascii="Times New Roman" w:hAnsi="Times New Roman"/>
          <w:sz w:val="28"/>
          <w:szCs w:val="28"/>
          <w:lang w:eastAsia="uk-UA"/>
        </w:rPr>
        <w:t xml:space="preserve">алановитих учнів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/>
    </w:p>
    <w:p>
      <w:pPr>
        <w:pStyle w:val="873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обрахуванні розрахункових показн</w:t>
      </w:r>
      <w:r>
        <w:rPr>
          <w:sz w:val="28"/>
          <w:szCs w:val="28"/>
          <w:lang w:eastAsia="ru-RU"/>
        </w:rPr>
        <w:t xml:space="preserve">иків на організацію літнього оздоровлення та відпочинку дітей в пришкільних таборах враховувалося підвищення цін на продукти харчування, тривалість відпочинкової зміни, кількість здобувачів освіти, які будуть охоплені відпочинковими послугами та вартість х</w:t>
      </w:r>
      <w:r>
        <w:rPr>
          <w:sz w:val="28"/>
          <w:szCs w:val="28"/>
          <w:lang w:eastAsia="ru-RU"/>
        </w:rPr>
        <w:t xml:space="preserve">арчування однієї дитини в день.</w:t>
      </w:r>
      <w:r/>
    </w:p>
    <w:p>
      <w:pPr>
        <w:pStyle w:val="873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Дана Програма створена для розв’язання наступної проблеми: створення сприятливих умов та реалізація права на якісне оздоровлення і відпочинок дітей в пришкільних таборах</w:t>
      </w:r>
      <w:r>
        <w:rPr>
          <w:sz w:val="28"/>
          <w:szCs w:val="28"/>
        </w:rPr>
        <w:t xml:space="preserve">, які функціонують</w:t>
      </w:r>
      <w:r>
        <w:rPr>
          <w:sz w:val="28"/>
          <w:szCs w:val="28"/>
        </w:rPr>
        <w:t xml:space="preserve"> при закладах загальної середньої освіти Менської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територіальної громади.</w:t>
      </w:r>
      <w:r/>
    </w:p>
    <w:p>
      <w:pPr>
        <w:pStyle w:val="873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3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3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Style w:val="879"/>
        <w:tblW w:w="0" w:type="auto"/>
        <w:jc w:val="center"/>
        <w:tblInd w:w="0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1936"/>
        <w:gridCol w:w="1936"/>
        <w:gridCol w:w="2403"/>
      </w:tblGrid>
      <w:tr>
        <w:trPr>
          <w:jc w:val="center"/>
        </w:trPr>
        <w:tc>
          <w:tcPr>
            <w:tcW w:w="2934" w:type="dxa"/>
            <w:textDirection w:val="lrTb"/>
            <w:noWrap w:val="false"/>
          </w:tcPr>
          <w:p>
            <w:pPr>
              <w:pStyle w:val="873"/>
              <w:jc w:val="center"/>
              <w:spacing w:after="0" w:afterAutospacing="0" w:before="0" w:before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Зміст</w:t>
            </w:r>
            <w:r/>
          </w:p>
        </w:tc>
        <w:tc>
          <w:tcPr>
            <w:tcW w:w="1936" w:type="dxa"/>
            <w:textDirection w:val="lrTb"/>
            <w:noWrap w:val="false"/>
          </w:tcPr>
          <w:p>
            <w:pPr>
              <w:pStyle w:val="873"/>
              <w:jc w:val="center"/>
              <w:spacing w:after="0" w:afterAutospacing="0" w:before="0" w:before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2022 рік</w:t>
            </w:r>
            <w:r/>
          </w:p>
        </w:tc>
        <w:tc>
          <w:tcPr>
            <w:tcW w:w="1936" w:type="dxa"/>
            <w:textDirection w:val="lrTb"/>
            <w:noWrap w:val="false"/>
          </w:tcPr>
          <w:p>
            <w:pPr>
              <w:pStyle w:val="873"/>
              <w:jc w:val="center"/>
              <w:spacing w:after="0" w:afterAutospacing="0" w:before="0" w:before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2023 рік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pStyle w:val="873"/>
              <w:jc w:val="center"/>
              <w:spacing w:after="0" w:afterAutospacing="0" w:before="0" w:before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3024 рік</w:t>
            </w:r>
            <w:r/>
          </w:p>
        </w:tc>
      </w:tr>
      <w:tr>
        <w:trPr>
          <w:jc w:val="center"/>
        </w:trPr>
        <w:tc>
          <w:tcPr>
            <w:tcW w:w="2934" w:type="dxa"/>
            <w:textDirection w:val="lrTb"/>
            <w:noWrap w:val="false"/>
          </w:tcPr>
          <w:p>
            <w:pPr>
              <w:pStyle w:val="873"/>
              <w:jc w:val="both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Вартість одного дітодня</w:t>
            </w:r>
            <w:r/>
          </w:p>
        </w:tc>
        <w:tc>
          <w:tcPr>
            <w:tcW w:w="1936" w:type="dxa"/>
            <w:textDirection w:val="lrTb"/>
            <w:noWrap w:val="false"/>
          </w:tcPr>
          <w:p>
            <w:pPr>
              <w:pStyle w:val="873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грн</w:t>
            </w:r>
            <w:r/>
          </w:p>
        </w:tc>
        <w:tc>
          <w:tcPr>
            <w:tcW w:w="1936" w:type="dxa"/>
            <w:textDirection w:val="lrTb"/>
            <w:noWrap w:val="false"/>
          </w:tcPr>
          <w:p>
            <w:pPr>
              <w:pStyle w:val="873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грн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pStyle w:val="873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 грн</w:t>
            </w:r>
            <w:r/>
          </w:p>
        </w:tc>
      </w:tr>
      <w:tr>
        <w:trPr>
          <w:jc w:val="center"/>
        </w:trPr>
        <w:tc>
          <w:tcPr>
            <w:tcW w:w="2934" w:type="dxa"/>
            <w:textDirection w:val="lrTb"/>
            <w:noWrap w:val="false"/>
          </w:tcPr>
          <w:p>
            <w:pPr>
              <w:pStyle w:val="873"/>
              <w:jc w:val="both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К-ть дітей</w:t>
            </w:r>
            <w:r/>
          </w:p>
        </w:tc>
        <w:tc>
          <w:tcPr>
            <w:tcW w:w="1936" w:type="dxa"/>
            <w:textDirection w:val="lrTb"/>
            <w:noWrap w:val="false"/>
          </w:tcPr>
          <w:p>
            <w:pPr>
              <w:pStyle w:val="873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758</w:t>
            </w:r>
            <w:r/>
          </w:p>
        </w:tc>
        <w:tc>
          <w:tcPr>
            <w:tcW w:w="1936" w:type="dxa"/>
            <w:textDirection w:val="lrTb"/>
            <w:noWrap w:val="false"/>
          </w:tcPr>
          <w:p>
            <w:pPr>
              <w:pStyle w:val="873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758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pStyle w:val="873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758</w:t>
            </w:r>
            <w:r/>
          </w:p>
        </w:tc>
      </w:tr>
      <w:tr>
        <w:trPr>
          <w:jc w:val="center"/>
        </w:trPr>
        <w:tc>
          <w:tcPr>
            <w:tcW w:w="2934" w:type="dxa"/>
            <w:textDirection w:val="lrTb"/>
            <w:noWrap w:val="false"/>
          </w:tcPr>
          <w:p>
            <w:pPr>
              <w:pStyle w:val="873"/>
              <w:jc w:val="both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К-ть днів відпочинкової зміни</w:t>
            </w:r>
            <w:r/>
          </w:p>
        </w:tc>
        <w:tc>
          <w:tcPr>
            <w:tcW w:w="1936" w:type="dxa"/>
            <w:textDirection w:val="lrTb"/>
            <w:noWrap w:val="false"/>
          </w:tcPr>
          <w:p>
            <w:pPr>
              <w:pStyle w:val="873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</w:t>
            </w:r>
            <w:r/>
          </w:p>
        </w:tc>
        <w:tc>
          <w:tcPr>
            <w:tcW w:w="1936" w:type="dxa"/>
            <w:textDirection w:val="lrTb"/>
            <w:noWrap w:val="false"/>
          </w:tcPr>
          <w:p>
            <w:pPr>
              <w:pStyle w:val="873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pStyle w:val="873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</w:t>
            </w:r>
            <w:r/>
          </w:p>
        </w:tc>
      </w:tr>
      <w:tr>
        <w:trPr>
          <w:jc w:val="center"/>
        </w:trPr>
        <w:tc>
          <w:tcPr>
            <w:tcW w:w="2934" w:type="dxa"/>
            <w:textDirection w:val="lrTb"/>
            <w:noWrap w:val="false"/>
          </w:tcPr>
          <w:p>
            <w:pPr>
              <w:pStyle w:val="873"/>
              <w:jc w:val="both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Всього коштів</w:t>
            </w:r>
            <w:r/>
          </w:p>
        </w:tc>
        <w:tc>
          <w:tcPr>
            <w:tcW w:w="1936" w:type="dxa"/>
            <w:textDirection w:val="lrTb"/>
            <w:noWrap w:val="false"/>
          </w:tcPr>
          <w:p>
            <w:pPr>
              <w:pStyle w:val="873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477540</w:t>
            </w:r>
            <w:r/>
          </w:p>
        </w:tc>
        <w:tc>
          <w:tcPr>
            <w:tcW w:w="1936" w:type="dxa"/>
            <w:textDirection w:val="lrTb"/>
            <w:noWrap w:val="false"/>
          </w:tcPr>
          <w:p>
            <w:pPr>
              <w:pStyle w:val="873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530600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pStyle w:val="873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583660</w:t>
            </w:r>
            <w:r/>
          </w:p>
        </w:tc>
      </w:tr>
      <w:tr>
        <w:trPr>
          <w:jc w:val="center"/>
        </w:trPr>
        <w:tc>
          <w:tcPr>
            <w:tcW w:w="2934" w:type="dxa"/>
            <w:textDirection w:val="lrTb"/>
            <w:noWrap w:val="false"/>
          </w:tcPr>
          <w:p>
            <w:pPr>
              <w:pStyle w:val="873"/>
              <w:jc w:val="both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Всього:</w:t>
            </w:r>
            <w:r/>
          </w:p>
        </w:tc>
        <w:tc>
          <w:tcPr>
            <w:gridSpan w:val="3"/>
            <w:tcW w:w="627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1591800</w:t>
            </w:r>
            <w:r/>
          </w:p>
        </w:tc>
      </w:tr>
    </w:tbl>
    <w:p>
      <w:pPr>
        <w:pStyle w:val="873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3"/>
        <w:jc w:val="center"/>
        <w:spacing w:after="0" w:afterAutospacing="0" w:before="0" w:beforeAutospacing="0"/>
        <w:shd w:val="clear" w:fill="FFFFFF" w:color="auto"/>
        <w:rPr>
          <w:rFonts w:eastAsia="Batang"/>
          <w:b/>
          <w:bCs/>
          <w:sz w:val="28"/>
          <w:szCs w:val="28"/>
          <w:lang w:eastAsia="ru-RU"/>
        </w:rPr>
      </w:pPr>
      <w:r>
        <w:rPr>
          <w:rFonts w:eastAsia="Batang"/>
          <w:b/>
          <w:bCs/>
          <w:sz w:val="28"/>
          <w:szCs w:val="28"/>
          <w:lang w:eastAsia="ru-RU"/>
        </w:rPr>
        <w:t xml:space="preserve">ІІІ. Мета Програми</w:t>
      </w:r>
      <w:r/>
    </w:p>
    <w:p>
      <w:pPr>
        <w:pStyle w:val="873"/>
        <w:jc w:val="center"/>
        <w:spacing w:after="0" w:afterAutospacing="0" w:before="0" w:beforeAutospacing="0"/>
        <w:shd w:val="clear" w:fill="FFFFFF" w:color="auto"/>
        <w:rPr>
          <w:rFonts w:eastAsia="Batang"/>
          <w:b/>
          <w:bCs/>
          <w:sz w:val="28"/>
          <w:szCs w:val="28"/>
          <w:lang w:eastAsia="ru-RU"/>
        </w:rPr>
      </w:pPr>
      <w:r>
        <w:rPr>
          <w:rFonts w:eastAsia="Batang"/>
          <w:b/>
          <w:bCs/>
          <w:sz w:val="28"/>
          <w:szCs w:val="28"/>
          <w:lang w:eastAsia="ru-RU"/>
        </w:rPr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Метою Програми є створення сприятливих умов та реалізація права на якісне о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здоровлення і відпочинок дітей. Досягнення поставленої мети здійснюватиметься шляхом оздоровчої, організаційно-координаційної та освітньо-виховної діяльності. Реалізація заходів з оздоровлення та відпочинку дітей відповідає пріоритетним напрямкам розвитку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громади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. Основними завданнями Програми є: </w:t>
      </w:r>
      <w:r/>
    </w:p>
    <w:p>
      <w:pPr>
        <w:pStyle w:val="873"/>
        <w:numPr>
          <w:ilvl w:val="0"/>
          <w:numId w:val="3"/>
        </w:numPr>
        <w:ind w:left="0"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створення належних умов для оздоровлення та повноцінного відпочинку дітей в пришкільних таборах Менської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територіальної громади;</w:t>
      </w:r>
      <w:r/>
    </w:p>
    <w:p>
      <w:pPr>
        <w:pStyle w:val="873"/>
        <w:numPr>
          <w:ilvl w:val="0"/>
          <w:numId w:val="3"/>
        </w:numPr>
        <w:ind w:left="0"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збільшення кількості дітей громади, охоплених організованими формами відпочинку та оздоровлення;</w:t>
      </w:r>
      <w:r/>
    </w:p>
    <w:p>
      <w:pPr>
        <w:pStyle w:val="873"/>
        <w:numPr>
          <w:ilvl w:val="0"/>
          <w:numId w:val="3"/>
        </w:numPr>
        <w:ind w:left="0"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створення умов для зміцнення фізичного та психічного здоров’я дітей шляхом належної організації відпочинку в пришкільних таборах;</w:t>
      </w:r>
      <w:r/>
    </w:p>
    <w:p>
      <w:pPr>
        <w:pStyle w:val="873"/>
        <w:numPr>
          <w:ilvl w:val="0"/>
          <w:numId w:val="3"/>
        </w:numPr>
        <w:ind w:left="0"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надання послуг з відпочинку дітям, які потребують особливої соціальної уваги та підтримки;</w:t>
      </w:r>
      <w:r/>
    </w:p>
    <w:p>
      <w:pPr>
        <w:pStyle w:val="873"/>
        <w:numPr>
          <w:ilvl w:val="0"/>
          <w:numId w:val="3"/>
        </w:numPr>
        <w:ind w:left="0" w:firstLine="567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формування та пропаганда здорового і безпечного способу життя.</w:t>
      </w:r>
      <w:r/>
    </w:p>
    <w:p>
      <w:pPr>
        <w:spacing w:lineRule="auto" w:line="240" w:after="0"/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ІV. Реалізація Програми</w:t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Розвиток сфери оздоровлення та відпочинку дітей є передумовою сприятливого соціально - економічного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і демографічного майбутнього, отже потребує першочергового вирішення як проблеми національного значення. Основними шляхами розв’язання проблем у сфері оздоровлення та відпочинку дітей є оздоровча, організаційно-координаційна та освітньо-виховна діяльність.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рийняття цієї Програми дозволяє поступово вирішува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ти проблеми у сфері оздоровлення та літнього відпочинку дітей.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Програма передбачає протягом 2022-2024 років здійснення комплексу заходів щодо створення умов для належної організації оздоровлення і літнього відпочинку дітей шляхом:</w:t>
      </w:r>
      <w:r/>
    </w:p>
    <w:p>
      <w:pPr>
        <w:pStyle w:val="873"/>
        <w:numPr>
          <w:ilvl w:val="0"/>
          <w:numId w:val="3"/>
        </w:numPr>
        <w:ind w:left="0"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організації та проведення семінарів для директорів, інших </w:t>
      </w:r>
      <w:r>
        <w:rPr>
          <w:sz w:val="28"/>
          <w:szCs w:val="28"/>
        </w:rPr>
        <w:t xml:space="preserve">відповідальних </w:t>
      </w:r>
      <w:r>
        <w:rPr>
          <w:sz w:val="28"/>
          <w:szCs w:val="28"/>
        </w:rPr>
        <w:t xml:space="preserve">осіб</w:t>
      </w:r>
      <w:r>
        <w:rPr>
          <w:sz w:val="28"/>
          <w:szCs w:val="28"/>
        </w:rPr>
        <w:t xml:space="preserve">, які забезпечують роботу пришкільних таборів</w:t>
      </w:r>
      <w:r>
        <w:rPr>
          <w:sz w:val="28"/>
          <w:szCs w:val="28"/>
        </w:rPr>
        <w:t xml:space="preserve">;</w:t>
      </w:r>
      <w:r/>
    </w:p>
    <w:p>
      <w:pPr>
        <w:pStyle w:val="873"/>
        <w:numPr>
          <w:ilvl w:val="0"/>
          <w:numId w:val="3"/>
        </w:numPr>
        <w:ind w:left="0"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забезпечення дітей відпочинковими послугами у пришкільних таборах</w:t>
      </w:r>
      <w:r>
        <w:rPr>
          <w:sz w:val="28"/>
          <w:szCs w:val="28"/>
          <w:lang w:eastAsia="ru-RU"/>
        </w:rPr>
        <w:t xml:space="preserve">.</w:t>
      </w:r>
      <w:r/>
    </w:p>
    <w:p>
      <w:pPr>
        <w:pStyle w:val="874"/>
        <w:jc w:val="center"/>
        <w:spacing w:after="0" w:afterAutospacing="0" w:before="0" w:beforeAutospacing="0"/>
        <w:rPr>
          <w:b/>
          <w:sz w:val="28"/>
          <w:szCs w:val="28"/>
        </w:rPr>
      </w:pP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  <w:r/>
    </w:p>
    <w:p>
      <w:pPr>
        <w:pStyle w:val="874"/>
        <w:jc w:val="center"/>
        <w:spacing w:after="0" w:afterAutospacing="0" w:before="0" w:beforeAutospacing="0"/>
        <w:rPr>
          <w:b/>
          <w:bCs/>
          <w:sz w:val="28"/>
          <w:szCs w:val="28"/>
          <w:highlight w:val="none"/>
        </w:rPr>
      </w:pPr>
      <w:r>
        <w:rPr>
          <w:rFonts w:eastAsia="Batang"/>
          <w:b/>
          <w:sz w:val="28"/>
          <w:szCs w:val="28"/>
          <w:lang w:eastAsia="ru-RU"/>
        </w:rPr>
        <w:t xml:space="preserve">V. </w:t>
      </w:r>
      <w:r>
        <w:rPr>
          <w:b/>
          <w:bCs/>
          <w:sz w:val="28"/>
          <w:szCs w:val="28"/>
        </w:rPr>
        <w:t xml:space="preserve">Фінансове забезпечення Програми</w:t>
      </w:r>
      <w:r/>
    </w:p>
    <w:p>
      <w:pPr>
        <w:pStyle w:val="874"/>
        <w:jc w:val="center"/>
        <w:spacing w:after="0" w:afterAutospacing="0" w:before="0" w:beforeAutospacing="0"/>
      </w:pPr>
      <w:r/>
      <w:r/>
    </w:p>
    <w:p>
      <w:pPr>
        <w:ind w:firstLine="425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shd w:val="clear" w:fill="FFFFFF" w:color="auto"/>
          <w:lang w:eastAsia="uk-UA"/>
        </w:rPr>
      </w:pPr>
      <w:r>
        <w:rPr>
          <w:rFonts w:ascii="Times New Roman" w:hAnsi="Times New Roman" w:eastAsia="Times New Roman"/>
          <w:sz w:val="28"/>
          <w:szCs w:val="28"/>
          <w:shd w:val="clear" w:fill="FFFFFF" w:color="auto"/>
          <w:lang w:eastAsia="uk-UA"/>
        </w:rPr>
        <w:t xml:space="preserve">Фінансування Програми здійснюватиметься за рахунок коштів місцевого бюджету, виходячи з його фінансових можливостей, а також інших джерел фінансування, не заборонених чинним законодавством України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  <w:lang w:eastAsia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  <w:lang w:eastAsia="uk-UA"/>
        </w:rPr>
        <w:t xml:space="preserve">в межах видатків, затверджених на відповідний рік за відповідним напрямком та в межах фінансових можливостей.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shd w:val="clear" w:fill="FFFFFF" w:color="auto"/>
          <w:lang w:eastAsia="uk-UA"/>
        </w:rPr>
      </w:pPr>
      <w:r>
        <w:rPr>
          <w:rFonts w:ascii="Times New Roman" w:hAnsi="Times New Roman" w:eastAsia="Times New Roman"/>
          <w:sz w:val="28"/>
          <w:szCs w:val="28"/>
          <w:shd w:val="clear" w:fill="FFFFFF" w:color="auto"/>
          <w:lang w:eastAsia="uk-UA"/>
        </w:rPr>
        <w:t xml:space="preserve">Прогнозований обсяг 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  <w:lang w:eastAsia="uk-UA"/>
        </w:rPr>
        <w:t xml:space="preserve">фінансових ресурсів на 2022-2024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  <w:lang w:eastAsia="uk-UA"/>
        </w:rPr>
        <w:t xml:space="preserve"> роки: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sz w:val="24"/>
          <w:szCs w:val="24"/>
          <w:lang w:eastAsia="uk-UA"/>
        </w:rPr>
      </w:r>
      <w:r/>
    </w:p>
    <w:tbl>
      <w:tblPr>
        <w:tblStyle w:val="879"/>
        <w:tblW w:w="0" w:type="auto"/>
        <w:tblInd w:w="0" w:type="dxa"/>
        <w:tbl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060"/>
        <w:gridCol w:w="2773"/>
        <w:gridCol w:w="2430"/>
        <w:gridCol w:w="2416"/>
      </w:tblGrid>
      <w:tr>
        <w:trPr>
          <w:trHeight w:val="57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06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eastAsia="Times New Roman"/>
                <w:sz w:val="20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8"/>
                <w:lang w:eastAsia="uk-UA"/>
              </w:rPr>
              <w:t xml:space="preserve">Рік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773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eastAsia="Times New Roman"/>
                <w:sz w:val="20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8"/>
                <w:lang w:eastAsia="uk-UA"/>
              </w:rPr>
              <w:t xml:space="preserve">Місцевий бюджет (тис. грн.)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43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eastAsia="Times New Roman"/>
                <w:sz w:val="20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8"/>
                <w:lang w:eastAsia="uk-UA"/>
              </w:rPr>
              <w:t xml:space="preserve">Інші джерела фінансування (тис. грн.)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416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eastAsia="Times New Roman"/>
                <w:sz w:val="20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8"/>
                <w:lang w:eastAsia="uk-UA"/>
              </w:rPr>
              <w:t xml:space="preserve">Всього</w:t>
            </w:r>
            <w:r/>
          </w:p>
          <w:p>
            <w:pPr>
              <w:jc w:val="center"/>
              <w:spacing w:lineRule="auto" w:line="240"/>
              <w:rPr>
                <w:rFonts w:ascii="Times New Roman" w:hAnsi="Times New Roman" w:eastAsia="Times New Roman"/>
                <w:sz w:val="20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8"/>
                <w:lang w:eastAsia="uk-UA"/>
              </w:rPr>
              <w:t xml:space="preserve">(тис. грн.)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06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2022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7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477540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4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4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477540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06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2023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773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530600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43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416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530600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06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2024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773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583660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43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416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583660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060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uk-UA"/>
              </w:rPr>
              <w:t xml:space="preserve">Всього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773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1591800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43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416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1591800</w:t>
            </w:r>
            <w:r/>
          </w:p>
        </w:tc>
      </w:tr>
    </w:tbl>
    <w:p>
      <w:pPr>
        <w:spacing w:lineRule="auto" w:line="240" w:after="0"/>
        <w:widowControl w:val="off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VI. Очікувані результати Програми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rPr>
          <w:rStyle w:val="876"/>
          <w:rFonts w:ascii="Times New Roman" w:hAnsi="Times New Roman"/>
          <w:sz w:val="28"/>
          <w:szCs w:val="28"/>
        </w:rPr>
      </w:pPr>
      <w:r>
        <w:rPr>
          <w:rStyle w:val="876"/>
          <w:rFonts w:ascii="Times New Roman" w:hAnsi="Times New Roman"/>
          <w:sz w:val="28"/>
          <w:szCs w:val="28"/>
        </w:rPr>
        <w:t xml:space="preserve">У результаті реалізації заходів Програми очікується</w:t>
      </w:r>
      <w:r>
        <w:rPr>
          <w:rStyle w:val="876"/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873"/>
        <w:numPr>
          <w:ilvl w:val="0"/>
          <w:numId w:val="5"/>
        </w:numPr>
        <w:ind w:left="426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організовувати проведення відпочинкової кампанії учнів у пришкільних таборах які діють при закл</w:t>
      </w:r>
      <w:r>
        <w:rPr>
          <w:sz w:val="28"/>
          <w:szCs w:val="28"/>
        </w:rPr>
        <w:t xml:space="preserve">адах загальної середньої освіти;</w:t>
      </w:r>
      <w:r/>
    </w:p>
    <w:p>
      <w:pPr>
        <w:pStyle w:val="873"/>
        <w:numPr>
          <w:ilvl w:val="0"/>
          <w:numId w:val="5"/>
        </w:numPr>
        <w:ind w:left="426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ідвищення рівня розвитку комунікаційних здібностей учнів, їхньої творчої активності, рівня вихованості і якості знань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/>
    </w:p>
    <w:p>
      <w:pPr>
        <w:pStyle w:val="873"/>
        <w:numPr>
          <w:ilvl w:val="0"/>
          <w:numId w:val="5"/>
        </w:numPr>
        <w:ind w:left="426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міцнення фізичних і психологічних сил дітей та підлітків, розвиток лідерських та організаторських якостей</w:t>
      </w:r>
      <w:r>
        <w:rPr>
          <w:sz w:val="28"/>
          <w:szCs w:val="28"/>
        </w:rPr>
        <w:t xml:space="preserve">.</w:t>
      </w:r>
      <w:bookmarkStart w:id="20" w:name="_GoBack"/>
      <w:r/>
      <w:bookmarkEnd w:id="20"/>
      <w:r/>
      <w:r/>
    </w:p>
    <w:p>
      <w:pPr>
        <w:pStyle w:val="875"/>
        <w:spacing w:after="0" w:afterAutospacing="0" w:before="0" w:beforeAutospacing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  <w:r/>
    </w:p>
    <w:p>
      <w:pPr>
        <w:pStyle w:val="875"/>
        <w:jc w:val="center"/>
        <w:spacing w:after="0" w:afterAutospacing="0" w:before="0" w:beforeAutospacing="0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VIІ. </w:t>
      </w:r>
      <w:r>
        <w:rPr>
          <w:b/>
          <w:bCs/>
          <w:sz w:val="28"/>
          <w:szCs w:val="28"/>
        </w:rPr>
        <w:t xml:space="preserve">Управління та контроль за ходом виконання Програми</w:t>
      </w:r>
      <w:r/>
    </w:p>
    <w:p>
      <w:pPr>
        <w:pStyle w:val="875"/>
        <w:jc w:val="center"/>
        <w:spacing w:after="0" w:afterAutospacing="0" w:before="0" w:beforeAutospacing="0"/>
      </w:pPr>
      <w:r/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Організація виконання Програми покладається на Відділ освіти Менської міської ради, Комунальну установу «Центр з обслуговування освіт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ніх установ та закладів освіти».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highlight w:val="none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Контроль за ходом р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еалізації Програми здійснює постійна комісія Менської міської ради з питань охорони здоров’я, соціального захисту населення, освіти, культури, молоді, фізкультури і спорту, заступник голови з питань діяльності виконавчих органів ради Прищепа В.В.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eastAsia="uk-UA"/>
        </w:rPr>
      </w:r>
      <w:r>
        <w:rPr>
          <w:rFonts w:ascii="Times New Roman" w:hAnsi="Times New Roman" w:eastAsia="Times New Roman"/>
          <w:sz w:val="28"/>
          <w:szCs w:val="28"/>
          <w:highlight w:val="none"/>
          <w:lang w:eastAsia="uk-UA"/>
        </w:rPr>
      </w:r>
      <w:r/>
    </w:p>
    <w:p>
      <w:pPr>
        <w:ind w:left="-141"/>
        <w:spacing w:lineRule="auto" w:line="240" w:after="0"/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ind w:left="-141"/>
        <w:jc w:val="center"/>
        <w:spacing w:lineRule="auto" w:line="240" w:after="0"/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val="en-US" w:eastAsia="ru-RU"/>
        </w:rPr>
        <w:t xml:space="preserve">VIII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. Напрямки діяльності та основні заходи Програми оздоровлення та літнього відпочинку дітей в пришкільних таборах на 2022-2024 роки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Batang"/>
          <w:sz w:val="20"/>
          <w:szCs w:val="20"/>
          <w:lang w:eastAsia="ru-RU"/>
        </w:rPr>
      </w:pPr>
      <w:r>
        <w:rPr>
          <w:rFonts w:ascii="Times New Roman" w:hAnsi="Times New Roman" w:eastAsia="Batang"/>
          <w:sz w:val="20"/>
          <w:szCs w:val="20"/>
          <w:lang w:eastAsia="ru-RU"/>
        </w:rPr>
      </w:r>
      <w:r/>
    </w:p>
    <w:tbl>
      <w:tblPr>
        <w:tblStyle w:val="879"/>
        <w:tblW w:w="9885" w:type="dxa"/>
        <w:tblInd w:w="0" w:type="dxa"/>
        <w:tbl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17"/>
        <w:gridCol w:w="4266"/>
        <w:gridCol w:w="1700"/>
        <w:gridCol w:w="1134"/>
        <w:gridCol w:w="1276"/>
        <w:gridCol w:w="992"/>
      </w:tblGrid>
      <w:tr>
        <w:trPr>
          <w:trHeight w:val="57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517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eastAsia="Times New Roman"/>
                <w:bCs/>
                <w:sz w:val="16"/>
                <w:szCs w:val="18"/>
                <w:lang w:eastAsia="uk-UA"/>
              </w:rPr>
            </w:pPr>
            <w:r>
              <w:rPr>
                <w:rFonts w:ascii="Times New Roman" w:hAnsi="Times New Roman" w:eastAsia="Times New Roman"/>
                <w:bCs/>
                <w:sz w:val="16"/>
                <w:szCs w:val="18"/>
                <w:lang w:eastAsia="uk-UA"/>
              </w:rPr>
              <w:t xml:space="preserve">№з/п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4266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eastAsia="Times New Roman"/>
                <w:bCs/>
                <w:sz w:val="16"/>
                <w:szCs w:val="18"/>
                <w:lang w:eastAsia="uk-UA"/>
              </w:rPr>
            </w:pPr>
            <w:r>
              <w:rPr>
                <w:rFonts w:ascii="Times New Roman" w:hAnsi="Times New Roman" w:eastAsia="Times New Roman"/>
                <w:bCs/>
                <w:sz w:val="16"/>
                <w:szCs w:val="18"/>
                <w:lang w:eastAsia="uk-UA"/>
              </w:rPr>
              <w:t xml:space="preserve">Зміст заходу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7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eastAsia="Times New Roman"/>
                <w:sz w:val="16"/>
                <w:szCs w:val="18"/>
                <w:lang w:eastAsia="uk-UA"/>
              </w:rPr>
            </w:pPr>
            <w:r>
              <w:rPr>
                <w:rFonts w:ascii="Times New Roman" w:hAnsi="Times New Roman" w:eastAsia="Times New Roman"/>
                <w:bCs/>
                <w:sz w:val="16"/>
                <w:szCs w:val="18"/>
                <w:lang w:eastAsia="uk-UA"/>
              </w:rPr>
              <w:t xml:space="preserve">Виконавці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eastAsia="Times New Roman"/>
                <w:sz w:val="16"/>
                <w:szCs w:val="18"/>
                <w:lang w:eastAsia="uk-UA"/>
              </w:rPr>
            </w:pPr>
            <w:r>
              <w:rPr>
                <w:rFonts w:ascii="Times New Roman" w:hAnsi="Times New Roman" w:eastAsia="Times New Roman"/>
                <w:bCs/>
                <w:sz w:val="16"/>
                <w:szCs w:val="18"/>
                <w:lang w:eastAsia="uk-UA"/>
              </w:rPr>
              <w:t xml:space="preserve">Термін виконання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eastAsia="Times New Roman"/>
                <w:sz w:val="16"/>
                <w:szCs w:val="18"/>
                <w:lang w:eastAsia="uk-UA"/>
              </w:rPr>
            </w:pPr>
            <w:r>
              <w:rPr>
                <w:rFonts w:ascii="Times New Roman" w:hAnsi="Times New Roman" w:eastAsia="Times New Roman"/>
                <w:bCs/>
                <w:sz w:val="16"/>
                <w:szCs w:val="18"/>
                <w:lang w:eastAsia="uk-UA"/>
              </w:rPr>
              <w:t xml:space="preserve">Джерела фінансування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eastAsia="Times New Roman"/>
                <w:sz w:val="16"/>
                <w:szCs w:val="18"/>
                <w:lang w:eastAsia="uk-UA"/>
              </w:rPr>
            </w:pPr>
            <w:r>
              <w:rPr>
                <w:rFonts w:ascii="Times New Roman" w:hAnsi="Times New Roman" w:eastAsia="Times New Roman"/>
                <w:bCs/>
                <w:sz w:val="16"/>
                <w:szCs w:val="18"/>
                <w:lang w:eastAsia="uk-UA"/>
              </w:rPr>
              <w:t xml:space="preserve">Обсяги фінансування (тис. грн.)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51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426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shd w:val="clear" w:fill="FFFFFF" w:color="auto"/>
                <w:lang w:eastAsia="uk-UA"/>
              </w:rPr>
              <w:t xml:space="preserve">Організація відпочинку дітей шкільного віку в </w:t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fill="FFFFFF" w:color="auto"/>
                <w:lang w:eastAsia="uk-UA"/>
              </w:rPr>
              <w:t xml:space="preserve">пришкільних таборах, </w:t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fill="FFFFFF" w:color="auto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fill="FFFFFF" w:color="auto"/>
                <w:lang w:eastAsia="uk-UA"/>
              </w:rPr>
              <w:t xml:space="preserve">створених на базі закладів загальної середньої освіти </w:t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fill="FFFFFF" w:color="auto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fill="FFFFFF" w:color="auto"/>
                <w:lang w:eastAsia="uk-UA"/>
              </w:rPr>
              <w:t xml:space="preserve">(організація щоденного харчування учнів).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700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Відділ освіти, дирекція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закладів загальної середньої освіти 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134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2022 рік</w:t>
            </w:r>
            <w:r/>
          </w:p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2023рік</w:t>
            </w:r>
            <w:r/>
          </w:p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2024 рік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276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Місцевий бюджет,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інші джерела фінансування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 xml:space="preserve">477540</w:t>
            </w:r>
            <w:r/>
          </w:p>
          <w:p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 xml:space="preserve">530600</w:t>
            </w:r>
            <w:r/>
          </w:p>
          <w:p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 xml:space="preserve">583660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51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426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shd w:val="clear" w:fill="FFFFFF" w:color="auto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shd w:val="clear" w:fill="FFFFFF" w:color="auto"/>
                <w:lang w:eastAsia="uk-UA"/>
              </w:rPr>
              <w:t xml:space="preserve">Забезпечення санітарно - епідеміологічного</w:t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fill="FFFFFF" w:color="auto"/>
                <w:lang w:eastAsia="uk-UA"/>
              </w:rPr>
              <w:t xml:space="preserve"> нагляд</w:t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fill="FFFFFF" w:color="auto"/>
                <w:lang w:eastAsia="uk-UA"/>
              </w:rPr>
              <w:t xml:space="preserve">у</w:t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fill="FFFFFF" w:color="auto"/>
                <w:lang w:eastAsia="uk-UA"/>
              </w:rPr>
              <w:t xml:space="preserve">, дотримання вимог протипожежної безпеки, нагляд за підготовкою, відкриттям та функціонуванням пришкіль</w:t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fill="FFFFFF" w:color="auto"/>
                <w:lang w:eastAsia="uk-UA"/>
              </w:rPr>
              <w:t xml:space="preserve">них дитячих таборів  відпочинку;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shd w:val="clear" w:fill="FFFFFF" w:color="auto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shd w:val="clear" w:fill="FFFFFF" w:color="auto"/>
                <w:lang w:eastAsia="uk-UA"/>
              </w:rPr>
              <w:t xml:space="preserve">дотримання</w:t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fill="FFFFFF" w:color="auto"/>
                <w:lang w:eastAsia="uk-UA"/>
              </w:rPr>
              <w:t xml:space="preserve"> правил безпеки під час перебування </w:t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fill="FFFFFF" w:color="auto"/>
                <w:lang w:eastAsia="uk-UA"/>
              </w:rPr>
              <w:t xml:space="preserve"> учнів у пришкільному таборі.</w:t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fill="FFFFFF" w:color="auto"/>
                <w:lang w:eastAsia="uk-UA"/>
              </w:rPr>
              <w:t xml:space="preserve">  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700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shd w:val="clear" w:fill="FFFFFF" w:color="auto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В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ідділ освіти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, </w:t>
            </w:r>
            <w:r>
              <w:rPr>
                <w:rFonts w:ascii="Times New Roman" w:hAnsi="Times New Roman" w:eastAsia="Times New Roman"/>
                <w:sz w:val="20"/>
                <w:szCs w:val="20"/>
                <w:shd w:val="clear" w:fill="FFFFFF" w:color="auto"/>
                <w:lang w:eastAsia="uk-UA"/>
              </w:rPr>
              <w:t xml:space="preserve">Менське районне управління Держпрод</w:t>
            </w:r>
            <w:r/>
          </w:p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shd w:val="clear" w:fill="FFFFFF" w:color="auto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shd w:val="clear" w:fill="FFFFFF" w:color="auto"/>
                <w:lang w:eastAsia="uk-UA"/>
              </w:rPr>
              <w:t xml:space="preserve">споживслужби в Чернігівській області, Менський районний відділ ДСНС</w:t>
            </w:r>
            <w:r>
              <w:rPr>
                <w:rFonts w:ascii="Times New Roman" w:hAnsi="Times New Roman" w:eastAsia="Times New Roman"/>
                <w:sz w:val="20"/>
                <w:szCs w:val="20"/>
                <w:shd w:val="clear" w:fill="FFFFFF" w:color="auto"/>
                <w:lang w:eastAsia="uk-UA"/>
              </w:rPr>
              <w:t xml:space="preserve">, дирекція </w:t>
            </w:r>
            <w:r/>
          </w:p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закладів загальної середньої освіти  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134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2022 рік</w:t>
            </w:r>
            <w:r/>
          </w:p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2023рік</w:t>
            </w:r>
            <w:r/>
          </w:p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2024 рік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276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Місцевий бюджет, інші джерела фінансування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eastAsia="Times New Roman"/>
                <w:lang w:eastAsia="uk-UA"/>
              </w:rPr>
            </w:pPr>
            <w:r>
              <w:rPr>
                <w:rFonts w:ascii="Times New Roman" w:hAnsi="Times New Roman" w:eastAsia="Times New Roman"/>
                <w:lang w:eastAsia="uk-UA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51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426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Batang"/>
                <w:sz w:val="24"/>
                <w:szCs w:val="24"/>
                <w:lang w:eastAsia="ru-RU"/>
              </w:rPr>
              <w:t xml:space="preserve">Проведення нарад з питань підготовки та проведення відпочинкової кампанії в пришкільних таборах.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700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Відділ освіти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134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2022 рік</w:t>
            </w:r>
            <w:r/>
          </w:p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2023рік</w:t>
            </w:r>
            <w:r/>
          </w:p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2024 рік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276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Не потребує фінансування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992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51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426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Batang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/>
                <w:sz w:val="24"/>
                <w:szCs w:val="24"/>
                <w:lang w:eastAsia="ru-RU"/>
              </w:rPr>
              <w:t xml:space="preserve">Організація </w:t>
            </w:r>
            <w:r>
              <w:rPr>
                <w:rFonts w:ascii="Times New Roman" w:hAnsi="Times New Roman" w:eastAsia="Batang"/>
                <w:sz w:val="24"/>
                <w:szCs w:val="24"/>
                <w:lang w:eastAsia="ru-RU"/>
              </w:rPr>
              <w:t xml:space="preserve"> контролю</w:t>
            </w:r>
            <w:r>
              <w:rPr>
                <w:rFonts w:ascii="Times New Roman" w:hAnsi="Times New Roman" w:eastAsia="Batang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hAnsi="Times New Roman" w:eastAsia="Batang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Times New Roman" w:hAnsi="Times New Roman" w:eastAsia="Batang"/>
                <w:sz w:val="24"/>
                <w:szCs w:val="24"/>
                <w:lang w:eastAsia="ru-RU"/>
              </w:rPr>
              <w:t xml:space="preserve"> дотриманням норм харчування, вимог санітарного законодавства та законодавства про безпечність та окремі показники якості харчових продуктів.  (НАССР).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shd w:val="clear" w:fill="FFFFFF" w:color="auto"/>
                <w:lang w:eastAsia="uk-UA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700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shd w:val="clear" w:fill="FFFFFF" w:color="auto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Відділ освіти,</w:t>
            </w:r>
            <w:r>
              <w:rPr>
                <w:rFonts w:ascii="Times New Roman" w:hAnsi="Times New Roman" w:eastAsia="Times New Roman"/>
                <w:sz w:val="20"/>
                <w:szCs w:val="20"/>
                <w:shd w:val="clear" w:fill="FFFFFF" w:color="auto"/>
                <w:lang w:eastAsia="uk-UA"/>
              </w:rPr>
              <w:t xml:space="preserve"> Менське районне управління Держпрод</w:t>
            </w:r>
            <w:r/>
          </w:p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shd w:val="clear" w:fill="FFFFFF" w:color="auto"/>
                <w:lang w:eastAsia="uk-UA"/>
              </w:rPr>
              <w:t xml:space="preserve">споживслужби в Чернігівській області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134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2022 рік</w:t>
            </w:r>
            <w:r/>
          </w:p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2023рік</w:t>
            </w:r>
            <w:r/>
          </w:p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2024 рік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276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Не потребує фінансування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992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51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426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shd w:val="clear" w:fill="FFFFFF" w:color="auto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shd w:val="clear" w:fill="FFFFFF" w:color="auto"/>
                <w:lang w:eastAsia="uk-UA"/>
              </w:rPr>
              <w:t xml:space="preserve">Сприяння залученню підприємств агропромислового комплексу громади до надання фінансової та матеріальної допомоги в організації літнього оздоровлення та відпочинку у пришкільних таборах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700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Д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ирекція закладів загальної середньої освіти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134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2022 рік</w:t>
            </w:r>
            <w:r/>
          </w:p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2023рік</w:t>
            </w:r>
            <w:r/>
          </w:p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2024 рік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276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Не потребує фінансування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992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51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426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Забезпечення змістовного дозвілля, проведення культурно-масових та фізкультурно-спортивних заходів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в пришкільних таборах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на базі закладів загальної середньої освіти.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700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Д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ирекція закладів загальної середньої освіти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134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2022 рік</w:t>
            </w:r>
            <w:r/>
          </w:p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2023рік</w:t>
            </w:r>
            <w:r/>
          </w:p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2024 рік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276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Не потребує фінансування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992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51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426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Забезпечити проведення інформа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ційно-просвітницьких профілактичних заходів з дітьми щодо пропаганди здорового способу життя, збереження репродуктивного здоров'я, профілактики соціально небезпечних хвороб, формування відповідальності за власне життя (бесід, лекцій, тренінгів, анкетувань)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700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Дирекція закладів загальної середньої освіти 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134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276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992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51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4266" w:type="dxa"/>
            <w:textDirection w:val="lrTb"/>
            <w:noWrap w:val="false"/>
          </w:tcPr>
          <w:p>
            <w:pPr>
              <w:ind w:right="-82"/>
              <w:jc w:val="both"/>
              <w:spacing w:lineRule="auto" w:line="240"/>
              <w:rPr>
                <w:rFonts w:ascii="Times New Roman" w:hAnsi="Times New Roman" w:eastAsia="Batang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/>
                <w:sz w:val="24"/>
                <w:szCs w:val="24"/>
                <w:lang w:eastAsia="ru-RU"/>
              </w:rPr>
              <w:t xml:space="preserve">Забезпечення відпочинковими послугами дітей, що потребують особливої соціальної уваги та підтримки: дітей-сиріт та дітей, </w:t>
            </w:r>
            <w:r>
              <w:rPr>
                <w:rFonts w:ascii="Times New Roman" w:hAnsi="Times New Roman" w:eastAsia="Batang"/>
                <w:sz w:val="24"/>
                <w:szCs w:val="24"/>
                <w:lang w:eastAsia="ru-RU"/>
              </w:rPr>
              <w:t xml:space="preserve">позбавлених батьківського піклування; дітей з інвалідністю; дітей з багатодітних та малозабезпечених  сімей; таланов</w:t>
            </w:r>
            <w:r>
              <w:rPr>
                <w:rFonts w:ascii="Times New Roman" w:hAnsi="Times New Roman" w:eastAsia="Batang"/>
                <w:sz w:val="24"/>
                <w:szCs w:val="24"/>
                <w:lang w:eastAsia="ru-RU"/>
              </w:rPr>
              <w:t xml:space="preserve">итих та обдарованих дітей; дітей, які постраждали внаслідок стихійного лиха, техногенних аварій, катастроф; дітей, батьки яких загинули від нещасних випадків на виробництві/або під час виконання службових обов’язків; діти працівників агропромислового компл</w:t>
            </w:r>
            <w:r>
              <w:rPr>
                <w:rFonts w:ascii="Times New Roman" w:hAnsi="Times New Roman" w:eastAsia="Batang"/>
                <w:sz w:val="24"/>
                <w:szCs w:val="24"/>
                <w:lang w:eastAsia="ru-RU"/>
              </w:rPr>
              <w:t xml:space="preserve">ексу та соціальної сфери села; дітей, що перебувають на диспансерному обліку; безпритульних та бездоглядних дітей; дітей внутрішньо переміщених осіб; дітей, батьки яких загинули, постраждали, брали участь у проведенні АТО та беруть участь у проведенні ООС.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700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Відділ освіти, директори закладів загальної середньої освіти  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134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2022 рік</w:t>
            </w:r>
            <w:r/>
          </w:p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2023рік</w:t>
            </w:r>
            <w:r/>
          </w:p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2024 рік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276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Не потребує фінансування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992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51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426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Забезпечення впровадження системи національного-патріотичного виховання, вдосконалення знань іноземної мови в закладах відпочинку на базі закладів загальної середньої освіти Менської  територіальної громади.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700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Дирекція закладів загальної середньої освіти  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134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2022 рік</w:t>
            </w:r>
            <w:r/>
          </w:p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2023рік</w:t>
            </w:r>
            <w:r/>
          </w:p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2024 рік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276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Не потребує фінансування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992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51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426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Висвітлювати інформацію про підготовку та проведення оздоровлення та відпочинку дітей, діяльність дитячих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пришкільних таборів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громади в засобах масової інформації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700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Відділ освіти, дирекція закладів загальної середньої освіти 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134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2022 рік</w:t>
            </w:r>
            <w:r/>
          </w:p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2023рік</w:t>
            </w:r>
            <w:r/>
          </w:p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2024 рік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276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Не потребує фінансування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992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r>
            <w:r/>
          </w:p>
        </w:tc>
      </w:tr>
      <w:tr>
        <w:trPr>
          <w:trHeight w:val="57"/>
        </w:trPr>
        <w:tc>
          <w:tcPr>
            <w:gridSpan w:val="5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8893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ВСЬОГО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992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eastAsia="Times New Roman"/>
                <w:b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val="en-US" w:eastAsia="uk-UA"/>
              </w:rPr>
              <w:t xml:space="preserve"> 1591800</w:t>
            </w:r>
            <w:r/>
          </w:p>
        </w:tc>
      </w:tr>
    </w:tbl>
    <w:p>
      <w:r/>
      <w:r/>
    </w:p>
    <w:p>
      <w:pPr>
        <w:spacing w:lineRule="auto" w:line="120" w:after="176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w:t xml:space="preserve">Начальник Відділу освіти   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120" w:after="176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Менської міської ради                                                               Ірина ЛУК’ЯНЕНКО</w:t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2240" w:h="15840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72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  <w:tabs>
          <w:tab w:val="left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>
    <w:name w:val="Heading 1"/>
    <w:basedOn w:val="869"/>
    <w:next w:val="869"/>
    <w:link w:val="69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4">
    <w:name w:val="Heading 1 Char"/>
    <w:basedOn w:val="870"/>
    <w:link w:val="693"/>
    <w:uiPriority w:val="9"/>
    <w:rPr>
      <w:rFonts w:ascii="Arial" w:hAnsi="Arial" w:cs="Arial" w:eastAsia="Arial"/>
      <w:sz w:val="40"/>
      <w:szCs w:val="40"/>
    </w:rPr>
  </w:style>
  <w:style w:type="paragraph" w:styleId="695">
    <w:name w:val="Heading 2"/>
    <w:basedOn w:val="869"/>
    <w:next w:val="869"/>
    <w:link w:val="69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6">
    <w:name w:val="Heading 2 Char"/>
    <w:basedOn w:val="870"/>
    <w:link w:val="695"/>
    <w:uiPriority w:val="9"/>
    <w:rPr>
      <w:rFonts w:ascii="Arial" w:hAnsi="Arial" w:cs="Arial" w:eastAsia="Arial"/>
      <w:sz w:val="34"/>
    </w:rPr>
  </w:style>
  <w:style w:type="paragraph" w:styleId="697">
    <w:name w:val="Heading 3"/>
    <w:basedOn w:val="869"/>
    <w:next w:val="869"/>
    <w:link w:val="6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8">
    <w:name w:val="Heading 3 Char"/>
    <w:basedOn w:val="870"/>
    <w:link w:val="697"/>
    <w:uiPriority w:val="9"/>
    <w:rPr>
      <w:rFonts w:ascii="Arial" w:hAnsi="Arial" w:cs="Arial" w:eastAsia="Arial"/>
      <w:sz w:val="30"/>
      <w:szCs w:val="30"/>
    </w:rPr>
  </w:style>
  <w:style w:type="paragraph" w:styleId="699">
    <w:name w:val="Heading 4"/>
    <w:basedOn w:val="869"/>
    <w:next w:val="869"/>
    <w:link w:val="7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0">
    <w:name w:val="Heading 4 Char"/>
    <w:basedOn w:val="870"/>
    <w:link w:val="699"/>
    <w:uiPriority w:val="9"/>
    <w:rPr>
      <w:rFonts w:ascii="Arial" w:hAnsi="Arial" w:cs="Arial" w:eastAsia="Arial"/>
      <w:b/>
      <w:bCs/>
      <w:sz w:val="26"/>
      <w:szCs w:val="26"/>
    </w:rPr>
  </w:style>
  <w:style w:type="paragraph" w:styleId="701">
    <w:name w:val="Heading 5"/>
    <w:basedOn w:val="869"/>
    <w:next w:val="869"/>
    <w:link w:val="70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2">
    <w:name w:val="Heading 5 Char"/>
    <w:basedOn w:val="870"/>
    <w:link w:val="701"/>
    <w:uiPriority w:val="9"/>
    <w:rPr>
      <w:rFonts w:ascii="Arial" w:hAnsi="Arial" w:cs="Arial" w:eastAsia="Arial"/>
      <w:b/>
      <w:bCs/>
      <w:sz w:val="24"/>
      <w:szCs w:val="24"/>
    </w:rPr>
  </w:style>
  <w:style w:type="paragraph" w:styleId="703">
    <w:name w:val="Heading 6"/>
    <w:basedOn w:val="869"/>
    <w:next w:val="869"/>
    <w:link w:val="70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4">
    <w:name w:val="Heading 6 Char"/>
    <w:basedOn w:val="870"/>
    <w:link w:val="703"/>
    <w:uiPriority w:val="9"/>
    <w:rPr>
      <w:rFonts w:ascii="Arial" w:hAnsi="Arial" w:cs="Arial" w:eastAsia="Arial"/>
      <w:b/>
      <w:bCs/>
      <w:sz w:val="22"/>
      <w:szCs w:val="22"/>
    </w:rPr>
  </w:style>
  <w:style w:type="paragraph" w:styleId="705">
    <w:name w:val="Heading 7"/>
    <w:basedOn w:val="869"/>
    <w:next w:val="869"/>
    <w:link w:val="70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6">
    <w:name w:val="Heading 7 Char"/>
    <w:basedOn w:val="870"/>
    <w:link w:val="7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7">
    <w:name w:val="Heading 8"/>
    <w:basedOn w:val="869"/>
    <w:next w:val="869"/>
    <w:link w:val="70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8">
    <w:name w:val="Heading 8 Char"/>
    <w:basedOn w:val="870"/>
    <w:link w:val="707"/>
    <w:uiPriority w:val="9"/>
    <w:rPr>
      <w:rFonts w:ascii="Arial" w:hAnsi="Arial" w:cs="Arial" w:eastAsia="Arial"/>
      <w:i/>
      <w:iCs/>
      <w:sz w:val="22"/>
      <w:szCs w:val="22"/>
    </w:rPr>
  </w:style>
  <w:style w:type="paragraph" w:styleId="709">
    <w:name w:val="Heading 9"/>
    <w:basedOn w:val="869"/>
    <w:next w:val="869"/>
    <w:link w:val="71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0">
    <w:name w:val="Heading 9 Char"/>
    <w:basedOn w:val="870"/>
    <w:link w:val="709"/>
    <w:uiPriority w:val="9"/>
    <w:rPr>
      <w:rFonts w:ascii="Arial" w:hAnsi="Arial" w:cs="Arial" w:eastAsia="Arial"/>
      <w:i/>
      <w:iCs/>
      <w:sz w:val="21"/>
      <w:szCs w:val="21"/>
    </w:rPr>
  </w:style>
  <w:style w:type="paragraph" w:styleId="711">
    <w:name w:val="No Spacing"/>
    <w:qFormat/>
    <w:uiPriority w:val="1"/>
    <w:pPr>
      <w:spacing w:lineRule="auto" w:line="240" w:after="0" w:before="0"/>
    </w:pPr>
  </w:style>
  <w:style w:type="paragraph" w:styleId="712">
    <w:name w:val="Title"/>
    <w:basedOn w:val="869"/>
    <w:next w:val="869"/>
    <w:link w:val="7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3">
    <w:name w:val="Title Char"/>
    <w:basedOn w:val="870"/>
    <w:link w:val="712"/>
    <w:uiPriority w:val="10"/>
    <w:rPr>
      <w:sz w:val="48"/>
      <w:szCs w:val="48"/>
    </w:rPr>
  </w:style>
  <w:style w:type="paragraph" w:styleId="714">
    <w:name w:val="Subtitle"/>
    <w:basedOn w:val="869"/>
    <w:next w:val="869"/>
    <w:link w:val="715"/>
    <w:qFormat/>
    <w:uiPriority w:val="11"/>
    <w:rPr>
      <w:sz w:val="24"/>
      <w:szCs w:val="24"/>
    </w:rPr>
    <w:pPr>
      <w:spacing w:after="200" w:before="200"/>
    </w:pPr>
  </w:style>
  <w:style w:type="character" w:styleId="715">
    <w:name w:val="Subtitle Char"/>
    <w:basedOn w:val="870"/>
    <w:link w:val="714"/>
    <w:uiPriority w:val="11"/>
    <w:rPr>
      <w:sz w:val="24"/>
      <w:szCs w:val="24"/>
    </w:rPr>
  </w:style>
  <w:style w:type="paragraph" w:styleId="716">
    <w:name w:val="Quote"/>
    <w:basedOn w:val="869"/>
    <w:next w:val="869"/>
    <w:link w:val="717"/>
    <w:qFormat/>
    <w:uiPriority w:val="29"/>
    <w:rPr>
      <w:i/>
    </w:rPr>
    <w:pPr>
      <w:ind w:left="720" w:right="720"/>
    </w:pPr>
  </w:style>
  <w:style w:type="character" w:styleId="717">
    <w:name w:val="Quote Char"/>
    <w:link w:val="716"/>
    <w:uiPriority w:val="29"/>
    <w:rPr>
      <w:i/>
    </w:rPr>
  </w:style>
  <w:style w:type="paragraph" w:styleId="718">
    <w:name w:val="Intense Quote"/>
    <w:basedOn w:val="869"/>
    <w:next w:val="869"/>
    <w:link w:val="71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9">
    <w:name w:val="Intense Quote Char"/>
    <w:link w:val="718"/>
    <w:uiPriority w:val="30"/>
    <w:rPr>
      <w:i/>
    </w:rPr>
  </w:style>
  <w:style w:type="paragraph" w:styleId="720">
    <w:name w:val="Header"/>
    <w:basedOn w:val="869"/>
    <w:link w:val="7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1">
    <w:name w:val="Header Char"/>
    <w:basedOn w:val="870"/>
    <w:link w:val="720"/>
    <w:uiPriority w:val="99"/>
  </w:style>
  <w:style w:type="paragraph" w:styleId="722">
    <w:name w:val="Footer"/>
    <w:basedOn w:val="869"/>
    <w:link w:val="7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3">
    <w:name w:val="Footer Char"/>
    <w:basedOn w:val="870"/>
    <w:link w:val="722"/>
    <w:uiPriority w:val="99"/>
  </w:style>
  <w:style w:type="paragraph" w:styleId="724">
    <w:name w:val="Caption"/>
    <w:basedOn w:val="869"/>
    <w:next w:val="86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5">
    <w:name w:val="Caption Char"/>
    <w:basedOn w:val="724"/>
    <w:link w:val="722"/>
    <w:uiPriority w:val="99"/>
  </w:style>
  <w:style w:type="table" w:styleId="726">
    <w:name w:val="Table Grid Light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Plain Table 1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2"/>
    <w:basedOn w:val="8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>
    <w:name w:val="Plain Table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Plain Table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2">
    <w:name w:val="Grid Table 1 Light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4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4">
    <w:name w:val="Grid Table 4 - Accent 1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5">
    <w:name w:val="Grid Table 4 - Accent 2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6">
    <w:name w:val="Grid Table 4 - Accent 3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7">
    <w:name w:val="Grid Table 4 - Accent 4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8">
    <w:name w:val="Grid Table 4 - Accent 5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9">
    <w:name w:val="Grid Table 4 - Accent 6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0">
    <w:name w:val="Grid Table 5 Dark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1">
    <w:name w:val="Grid Table 5 Dark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4">
    <w:name w:val="Grid Table 5 Dark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7">
    <w:name w:val="Grid Table 6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8">
    <w:name w:val="Grid Table 6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9">
    <w:name w:val="Grid Table 6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0">
    <w:name w:val="Grid Table 6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1">
    <w:name w:val="Grid Table 6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2">
    <w:name w:val="Grid Table 6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6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7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9">
    <w:name w:val="List Table 2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0">
    <w:name w:val="List Table 2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1">
    <w:name w:val="List Table 2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2">
    <w:name w:val="List Table 2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3">
    <w:name w:val="List Table 2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4">
    <w:name w:val="List Table 2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5">
    <w:name w:val="List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5 Dark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6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7">
    <w:name w:val="List Table 6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8">
    <w:name w:val="List Table 6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9">
    <w:name w:val="List Table 6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0">
    <w:name w:val="List Table 6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1">
    <w:name w:val="List Table 6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2">
    <w:name w:val="List Table 6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3">
    <w:name w:val="List Table 7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4">
    <w:name w:val="List Table 7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5">
    <w:name w:val="List Table 7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6">
    <w:name w:val="List Table 7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7">
    <w:name w:val="List Table 7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8">
    <w:name w:val="List Table 7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9">
    <w:name w:val="List Table 7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0">
    <w:name w:val="Lined - Accent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1">
    <w:name w:val="Lined - Accent 1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2">
    <w:name w:val="Lined - Accent 2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3">
    <w:name w:val="Lined - Accent 3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4">
    <w:name w:val="Lined - Accent 4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5">
    <w:name w:val="Lined - Accent 5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6">
    <w:name w:val="Lined - Accent 6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7">
    <w:name w:val="Bordered &amp; Lined - Accent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8">
    <w:name w:val="Bordered &amp; Lined - Accent 1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9">
    <w:name w:val="Bordered &amp; Lined - Accent 2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0">
    <w:name w:val="Bordered &amp; Lined - Accent 3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1">
    <w:name w:val="Bordered &amp; Lined - Accent 4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2">
    <w:name w:val="Bordered &amp; Lined - Accent 5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3">
    <w:name w:val="Bordered &amp; Lined - Accent 6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4">
    <w:name w:val="Bordered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5">
    <w:name w:val="Bordered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6">
    <w:name w:val="Bordered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7">
    <w:name w:val="Bordered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8">
    <w:name w:val="Bordered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9">
    <w:name w:val="Bordered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0">
    <w:name w:val="Bordered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9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70"/>
    <w:uiPriority w:val="99"/>
    <w:unhideWhenUsed/>
    <w:rPr>
      <w:vertAlign w:val="superscript"/>
    </w:rPr>
  </w:style>
  <w:style w:type="paragraph" w:styleId="855">
    <w:name w:val="endnote text"/>
    <w:basedOn w:val="869"/>
    <w:link w:val="856"/>
    <w:uiPriority w:val="99"/>
    <w:semiHidden/>
    <w:unhideWhenUsed/>
    <w:rPr>
      <w:sz w:val="20"/>
    </w:rPr>
    <w:pPr>
      <w:spacing w:lineRule="auto" w:line="240" w:after="0"/>
    </w:pPr>
  </w:style>
  <w:style w:type="character" w:styleId="856">
    <w:name w:val="Endnote Text Char"/>
    <w:link w:val="855"/>
    <w:uiPriority w:val="99"/>
    <w:rPr>
      <w:sz w:val="20"/>
    </w:rPr>
  </w:style>
  <w:style w:type="character" w:styleId="857">
    <w:name w:val="endnote reference"/>
    <w:basedOn w:val="870"/>
    <w:uiPriority w:val="99"/>
    <w:semiHidden/>
    <w:unhideWhenUsed/>
    <w:rPr>
      <w:vertAlign w:val="superscript"/>
    </w:rPr>
  </w:style>
  <w:style w:type="paragraph" w:styleId="858">
    <w:name w:val="toc 1"/>
    <w:basedOn w:val="869"/>
    <w:next w:val="869"/>
    <w:uiPriority w:val="39"/>
    <w:unhideWhenUsed/>
    <w:pPr>
      <w:ind w:left="0" w:right="0" w:firstLine="0"/>
      <w:spacing w:after="57"/>
    </w:pPr>
  </w:style>
  <w:style w:type="paragraph" w:styleId="859">
    <w:name w:val="toc 2"/>
    <w:basedOn w:val="869"/>
    <w:next w:val="869"/>
    <w:uiPriority w:val="39"/>
    <w:unhideWhenUsed/>
    <w:pPr>
      <w:ind w:left="283" w:right="0" w:firstLine="0"/>
      <w:spacing w:after="57"/>
    </w:pPr>
  </w:style>
  <w:style w:type="paragraph" w:styleId="860">
    <w:name w:val="toc 3"/>
    <w:basedOn w:val="869"/>
    <w:next w:val="869"/>
    <w:uiPriority w:val="39"/>
    <w:unhideWhenUsed/>
    <w:pPr>
      <w:ind w:left="567" w:right="0" w:firstLine="0"/>
      <w:spacing w:after="57"/>
    </w:pPr>
  </w:style>
  <w:style w:type="paragraph" w:styleId="861">
    <w:name w:val="toc 4"/>
    <w:basedOn w:val="869"/>
    <w:next w:val="869"/>
    <w:uiPriority w:val="39"/>
    <w:unhideWhenUsed/>
    <w:pPr>
      <w:ind w:left="850" w:right="0" w:firstLine="0"/>
      <w:spacing w:after="57"/>
    </w:pPr>
  </w:style>
  <w:style w:type="paragraph" w:styleId="862">
    <w:name w:val="toc 5"/>
    <w:basedOn w:val="869"/>
    <w:next w:val="869"/>
    <w:uiPriority w:val="39"/>
    <w:unhideWhenUsed/>
    <w:pPr>
      <w:ind w:left="1134" w:right="0" w:firstLine="0"/>
      <w:spacing w:after="57"/>
    </w:pPr>
  </w:style>
  <w:style w:type="paragraph" w:styleId="863">
    <w:name w:val="toc 6"/>
    <w:basedOn w:val="869"/>
    <w:next w:val="869"/>
    <w:uiPriority w:val="39"/>
    <w:unhideWhenUsed/>
    <w:pPr>
      <w:ind w:left="1417" w:right="0" w:firstLine="0"/>
      <w:spacing w:after="57"/>
    </w:pPr>
  </w:style>
  <w:style w:type="paragraph" w:styleId="864">
    <w:name w:val="toc 7"/>
    <w:basedOn w:val="869"/>
    <w:next w:val="869"/>
    <w:uiPriority w:val="39"/>
    <w:unhideWhenUsed/>
    <w:pPr>
      <w:ind w:left="1701" w:right="0" w:firstLine="0"/>
      <w:spacing w:after="57"/>
    </w:pPr>
  </w:style>
  <w:style w:type="paragraph" w:styleId="865">
    <w:name w:val="toc 8"/>
    <w:basedOn w:val="869"/>
    <w:next w:val="869"/>
    <w:uiPriority w:val="39"/>
    <w:unhideWhenUsed/>
    <w:pPr>
      <w:ind w:left="1984" w:right="0" w:firstLine="0"/>
      <w:spacing w:after="57"/>
    </w:pPr>
  </w:style>
  <w:style w:type="paragraph" w:styleId="866">
    <w:name w:val="toc 9"/>
    <w:basedOn w:val="869"/>
    <w:next w:val="869"/>
    <w:uiPriority w:val="39"/>
    <w:unhideWhenUsed/>
    <w:pPr>
      <w:ind w:left="2268" w:right="0" w:firstLine="0"/>
      <w:spacing w:after="57"/>
    </w:pPr>
  </w:style>
  <w:style w:type="paragraph" w:styleId="867">
    <w:name w:val="TOC Heading"/>
    <w:uiPriority w:val="39"/>
    <w:unhideWhenUsed/>
  </w:style>
  <w:style w:type="paragraph" w:styleId="868">
    <w:name w:val="table of figures"/>
    <w:basedOn w:val="869"/>
    <w:next w:val="869"/>
    <w:uiPriority w:val="99"/>
    <w:unhideWhenUsed/>
    <w:pPr>
      <w:spacing w:after="0" w:afterAutospacing="0"/>
    </w:pPr>
  </w:style>
  <w:style w:type="paragraph" w:styleId="869" w:default="1">
    <w:name w:val="Normal"/>
    <w:qFormat/>
    <w:rPr>
      <w:rFonts w:ascii="Calibri" w:hAnsi="Calibri" w:cs="Times New Roman" w:eastAsia="Calibri"/>
      <w:lang w:val="uk-UA"/>
    </w:rPr>
    <w:pPr>
      <w:spacing w:lineRule="auto" w:line="256"/>
    </w:pPr>
  </w:style>
  <w:style w:type="character" w:styleId="870" w:default="1">
    <w:name w:val="Default Paragraph Font"/>
    <w:uiPriority w:val="1"/>
    <w:semiHidden/>
    <w:unhideWhenUsed/>
  </w:style>
  <w:style w:type="table" w:styleId="8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2" w:default="1">
    <w:name w:val="No List"/>
    <w:uiPriority w:val="99"/>
    <w:semiHidden/>
    <w:unhideWhenUsed/>
  </w:style>
  <w:style w:type="paragraph" w:styleId="873">
    <w:name w:val="Normal (Web)"/>
    <w:basedOn w:val="869"/>
    <w:uiPriority w:val="99"/>
    <w:unhideWhenUsed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74" w:customStyle="1">
    <w:name w:val="7659"/>
    <w:basedOn w:val="869"/>
    <w:uiPriority w:val="99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75" w:customStyle="1">
    <w:name w:val="2695"/>
    <w:basedOn w:val="869"/>
    <w:uiPriority w:val="99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76" w:customStyle="1">
    <w:name w:val="1848"/>
    <w:basedOn w:val="870"/>
  </w:style>
  <w:style w:type="character" w:styleId="877" w:customStyle="1">
    <w:name w:val="2897"/>
    <w:basedOn w:val="870"/>
  </w:style>
  <w:style w:type="character" w:styleId="878" w:customStyle="1">
    <w:name w:val="1953"/>
    <w:basedOn w:val="870"/>
  </w:style>
  <w:style w:type="table" w:styleId="879">
    <w:name w:val="Table Grid"/>
    <w:basedOn w:val="871"/>
    <w:uiPriority w:val="59"/>
    <w:rPr>
      <w:rFonts w:ascii="Calibri" w:hAnsi="Calibri" w:cs="Calibri" w:eastAsia="Calibri"/>
      <w:lang w:val="uk-UA"/>
    </w:rPr>
    <w:pPr>
      <w:spacing w:lineRule="auto" w:line="240" w:after="0"/>
    </w:pPr>
    <w:tblPr>
      <w:tblBorders>
        <w:insideV w:val="single" w:color="000000" w:sz="4" w:space="0" w:themeColor="text1"/>
        <w:insideH w:val="single" w:color="000000" w:sz="4" w:space="0" w:themeColor="text1"/>
      </w:tblBorders>
      <w:tblCellMar>
        <w:left w:w="0" w:type="dxa"/>
        <w:right w:w="0" w:type="dxa"/>
      </w:tblCellMar>
    </w:tblPr>
  </w:style>
  <w:style w:type="paragraph" w:styleId="880" w:customStyle="1">
    <w:name w:val="Абзац списку1"/>
    <w:basedOn w:val="869"/>
    <w:rPr>
      <w:sz w:val="20"/>
      <w:lang w:val="ru-RU" w:bidi="en-US"/>
    </w:rPr>
    <w:pPr>
      <w:contextualSpacing w:val="true"/>
      <w:ind w:left="720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1">
    <w:name w:val="List Paragraph"/>
    <w:basedOn w:val="869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СТАРОДУБ Людмила Олександрівна</cp:lastModifiedBy>
  <cp:revision>25</cp:revision>
  <dcterms:created xsi:type="dcterms:W3CDTF">2021-11-03T09:25:00Z</dcterms:created>
  <dcterms:modified xsi:type="dcterms:W3CDTF">2021-11-27T15:41:53Z</dcterms:modified>
</cp:coreProperties>
</file>