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sz w:val="28"/>
        </w:rPr>
      </w:r>
      <w:r/>
    </w:p>
    <w:p>
      <w:pPr>
        <w:ind w:left="5102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виконавчого комітету Менської міської ради</w:t>
      </w:r>
      <w:r>
        <w:rPr>
          <w:sz w:val="28"/>
        </w:rPr>
      </w:r>
      <w:r/>
    </w:p>
    <w:p>
      <w:pPr>
        <w:ind w:left="5102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листопада 2021  року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 </w:t>
      </w:r>
      <w:r>
        <w:rPr>
          <w:sz w:val="28"/>
        </w:rPr>
        <w:t xml:space="preserve">352</w:t>
      </w:r>
      <w:r/>
    </w:p>
    <w:p>
      <w:pPr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Програми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інформатизації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 Менської територіальної громади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 на 2022-2024 роки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м.Мена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2021 р.</w:t>
      </w:r>
      <w:r>
        <w:rPr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/>
        </w:rPr>
        <w:br w:type="page"/>
      </w:r>
      <w:r>
        <w:rPr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Зміст</w:t>
      </w:r>
      <w:r>
        <w:rPr>
          <w:sz w:val="28"/>
        </w:rPr>
      </w:r>
      <w:r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8208"/>
      </w:tblGrid>
      <w:tr>
        <w:trPr>
          <w:trHeight w:val="285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lang w:val="uk-UA"/>
              </w:rPr>
              <w:t xml:space="preserve">I.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lang w:val="uk-UA"/>
              </w:rPr>
              <w:t xml:space="preserve">Паспорт програми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shd w:val="clear" w:color="FFFFFF" w:fill="FFFFFF"/>
              </w:rPr>
              <w:t xml:space="preserve">інформатизації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shd w:val="clear" w:color="FFFFFF" w:fill="FFFFFF"/>
              </w:rPr>
              <w:t xml:space="preserve">Менської територіальної громади на 2022-2024 роки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lang w:val="uk-UA"/>
              </w:rPr>
              <w:t xml:space="preserve">.</w:t>
            </w:r>
            <w:r>
              <w:rPr>
                <w:sz w:val="28"/>
              </w:rPr>
            </w:r>
            <w:r/>
          </w:p>
        </w:tc>
      </w:tr>
      <w:tr>
        <w:trPr>
          <w:trHeight w:val="345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lang w:val="uk-UA"/>
              </w:rPr>
              <w:t xml:space="preserve">II.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t xml:space="preserve">Стан інформатизації Менської територіальної громади</w:t>
            </w:r>
            <w:r>
              <w:rPr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lang w:val="uk-UA"/>
              </w:rPr>
              <w:t xml:space="preserve">III.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t xml:space="preserve">Мета, завдання і основні пріоритетні напрями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szCs w:val="28"/>
                <w:shd w:val="clear" w:color="FFFFFF" w:fill="FFFFFF"/>
              </w:rPr>
              <w:t xml:space="preserve">інформатизації </w:t>
            </w:r>
            <w:r>
              <w:rPr>
                <w:sz w:val="28"/>
              </w:rPr>
            </w:r>
            <w:r/>
          </w:p>
        </w:tc>
      </w:tr>
      <w:tr>
        <w:trPr>
          <w:trHeight w:val="351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vMerge w:val="restart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lang w:val="uk-UA"/>
              </w:rPr>
              <w:t xml:space="preserve">IV.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 w:afterAutospacing="0" w:before="0" w:beforeAutospacing="0"/>
              <w:tabs>
                <w:tab w:val="left" w:pos="130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Заходи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lang w:val="uk-UA"/>
              </w:rPr>
              <w:t xml:space="preserve">V.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991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t xml:space="preserve">Принципи формування та виконання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vMerge w:val="restart"/>
            <w:textDirection w:val="lrTb"/>
            <w:noWrap w:val="false"/>
          </w:tcPr>
          <w:p>
            <w:pPr>
              <w:ind w:left="0" w:right="-64" w:firstLine="0"/>
              <w:jc w:val="center"/>
              <w:spacing w:lineRule="auto" w:line="240" w:after="0" w:afterAutospacing="0" w:before="0" w:beforeAutospacing="0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  <w:lang w:val="uk-UA"/>
              </w:rPr>
              <w:t xml:space="preserve">VI.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991" w:leader="none"/>
              </w:tabs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auto"/>
                <w:sz w:val="28"/>
              </w:rPr>
              <w:t xml:space="preserve">Організаційне забезпечення виконання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5" w:type="dxa"/>
            <w:textDirection w:val="lrTb"/>
            <w:noWrap w:val="false"/>
          </w:tcPr>
          <w:p>
            <w:pPr>
              <w:ind w:left="0" w:right="-64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VII. </w:t>
            </w:r>
            <w:r>
              <w:rPr>
                <w:b w:val="fals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208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 w:eastAsia="Times New Roman"/>
                <w:b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Фінансове забезпечення 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  <w:lang w:val="uk-UA"/>
        </w:rPr>
        <w:t xml:space="preserve"> </w:t>
      </w:r>
      <w:r>
        <w:rPr>
          <w:sz w:val="28"/>
        </w:rPr>
      </w:r>
      <w:r/>
    </w:p>
    <w:p>
      <w:pPr>
        <w:ind w:left="36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8"/>
          <w:lang w:val="uk-UA"/>
        </w:rPr>
      </w:r>
      <w:r>
        <w:rPr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I. ПАСПОРТ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інформатизації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Менської територіальної громади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FFFFFF" w:fill="FFFFFF"/>
        </w:rPr>
        <w:t xml:space="preserve">на 2022-2024 роки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09"/>
        <w:gridCol w:w="526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цифрових трансформацій та комунікації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Розробник Програми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Відповідальний виконавець Програми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цифрових комунікацій та комунікації Менської міської ради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tabs>
                <w:tab w:val="left" w:pos="2883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Учасники Програми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Структурні підрозділи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 ради 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Термін реалізації Програми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Загальний обсяг фінансових ресурсів, необхідних для реалізації Програми, з них: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 –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2420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 тис. грн.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2022 рік - 820 тис.грн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2023 рік - 743 тис.грн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2024 рік - 857 тис. 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державного бюджету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державного бюджету.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обласного бюджету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обласного бюджету.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районного бюджету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jc w:val="both"/>
              <w:spacing w:lineRule="auto" w:line="240" w:after="0" w:afterAutospacing="0" w:before="0" w:beforeAutospacing="0"/>
              <w:tabs>
                <w:tab w:val="left" w:pos="628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 межах виділення асигнувань з районного бюджету.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tabs>
                <w:tab w:val="left" w:pos="77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коштів місцевих бюджетів (крім районного)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 – 2420,0 тис. грн.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09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кошти інших джерел не заборонених чинним законодавством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62" w:type="dxa"/>
            <w:vAlign w:val="top"/>
            <w:textDirection w:val="lrTb"/>
            <w:noWrap w:val="false"/>
          </w:tcPr>
          <w:p>
            <w:pPr>
              <w:ind w:left="0" w:right="-8" w:firstLine="0"/>
              <w:spacing w:lineRule="auto" w:line="240" w:after="0" w:afterAutospacing="0" w:before="0" w:beforeAutospacing="0"/>
              <w:tabs>
                <w:tab w:val="left" w:pos="628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  <w:p>
            <w:pPr>
              <w:ind w:left="0" w:right="-8" w:firstLine="0"/>
              <w:spacing w:lineRule="auto" w:line="240" w:after="0" w:afterAutospacing="0" w:before="0" w:beforeAutospacing="0"/>
              <w:tabs>
                <w:tab w:val="left" w:pos="628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межах надходжень</w:t>
            </w:r>
            <w:r>
              <w:rPr>
                <w:sz w:val="28"/>
              </w:rPr>
            </w:r>
            <w:r/>
          </w:p>
        </w:tc>
      </w:tr>
    </w:tbl>
    <w:p>
      <w:pPr>
        <w:ind w:firstLine="708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hd w:val="clear" w:fill="FFFFFF" w:color="auto"/>
          <w:lang w:val="uk-UA"/>
        </w:rPr>
      </w:r>
      <w:r>
        <w:rPr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СТАН ІНФОРМАТИЗАЦІЇ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ОТГ</w:t>
      </w:r>
      <w:r>
        <w:rPr>
          <w:sz w:val="28"/>
        </w:rPr>
      </w:r>
      <w:r/>
    </w:p>
    <w:p>
      <w:pPr>
        <w:ind w:left="0" w:right="0" w:firstLine="740"/>
        <w:jc w:val="both"/>
        <w:spacing w:lineRule="atLeast" w:line="274" w:after="24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 сучасного стану інформатизації громади дозволяє визначити такі основні проблеми, що потребують вирішення: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недостатній рівень стандартизації діяльності, пов’язаної з використанням ІКТ, автоматизованих інформаційних систем, соціальних мереж у публічному управлінні;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недостатньо розвинута інфраструктура інформатизації окремих територій громади, відсутність мотивації ІТ-бізнесу для створення зазначеної інфраструктури в сільській місцевості;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складна система захисту персональних даних у документах, які супроводжують процедури надання послуг у електронному вигляді;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недостатній рівень гарантування інформаційної безпеки інформаційно- телекомунікаційних систем, що використовуються органами публічного управління;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низький рівень використання відкритого програмного забезпечення;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компетентність посадових осіб місцевого самоврядування, представників громадських об’єднань, а також громадян щодо використання технологій е- урядування та е-демократії;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повільні темпи розробки та впровадження новітніх конкурентоспроможних ІКТ у всі сфери, у тому числі в діяльність органів влади громади, зокрема з використанням відкритого коду;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низький рівень залучення громадян громади до участі у процесах формування інформаційного суспільства, упровадження технологій е-демократії, у тому числі із залученням ресурсів міжнародних організацій;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низький рівень залучення міжнародних інвестицій у сферу ІКТ;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необізнаність мешканців та суб’єктів господарювання громади щодо послуг, які надаються за допомогою ІКТ;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низькі показники якості доступу до мережі Інтернет у розрізі окремих районів громади;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недостатня кількість мобільних програмних сервісів е-урядування та е- демократії у зв’язку зі стрімким зростанням чисельності користувачів 3/4G;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низький рівень інтеграції між собою електронних інформаційних ресурсів.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240" w:before="24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недостатня кількість зон безкоштовного доступу до wi-fi громадян;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spacing w:lineRule="atLeast" w:line="274" w:after="0" w:afterAutospacing="0" w:before="0" w:beforeAutospacing="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низький рівень доступу громадян у сільських місцевостях до електронної інф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ормації про діяльність громади.</w:t>
      </w:r>
      <w:r>
        <w:rPr>
          <w:sz w:val="28"/>
        </w:rPr>
      </w:r>
      <w:r/>
    </w:p>
    <w:p>
      <w:pPr>
        <w:ind w:left="720" w:firstLine="0"/>
        <w:jc w:val="both"/>
        <w:spacing w:lineRule="atLeast" w:line="274" w:after="0" w:afterAutospacing="0" w:before="0" w:beforeAutospacing="0"/>
        <w:tabs>
          <w:tab w:val="left" w:pos="14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pStyle w:val="819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III.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МЕТА, ЗАВДАННЯ І ОСНОВНІ ПРІОРИТЕТНІ НАПРЯМИ ЦИФРОВІЗАЦІЇ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Метою Програми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є створення єдиного інформаційно-телекомунікаційного простору публічного управління соціально-економічним розвитком Менської територіальної громади шляхом впровадження елементів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телекомунікаційної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інформаційної інфраструктури, засобів інформатизації, інструментів та технологій еле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ктронного урядування, електронної демократії, інших сучасних інформаційно-комп’ютерних технологій.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Завданнями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є: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прискорення процесу впровадження сучасних телекомунікаційних та цифрових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технологій у сферах: публічного управління, освіти, охорони здоров’я, культури, бізнесу, житлово-комунальній та інформаційній сферах та інших напрямках життєдіяльності громади;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якості електронних сервісів, зокрема, за критеріями доступності та зручності;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доступу до інформації про діяльність органів місцевого самоврядування та надання можливості безпосередньої участі як інститутів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громадянського суспільства, так і громадян у процесах прийняття управлінських рішень;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цифровими навичками та компетенціями публічних службовців і громадян, у тому числі шляхом створення системи освіти, орієнтованої на використання новітніх інформаційно-комунікаційних технологі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й;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міжнародній співпраці у галузі інформатизації, е-урядування та е- демократії;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поліпшення органі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заційної спроможності Менської міської ради, її структурних підрозділів, комунальних підприємств щодо використання комп’ютерних, телекомунікаційних та цифрових технологій в їх діяльності, впровадження і застосування технологій е-урядування та е-демократії;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підтримка розвитку спроможності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через використання сучасних ІКТ та впровадження типових рішень;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та підтримка стану інформаційної безпеки інформаційно - телекомунікаційних систем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подолання цифрового розриву шляхом розвитку цифрових інфраструктур, у тому числі сприяння в організації широкосмугового доступу для користувачів і підвищення показників якості доступу до мережі інтернет;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технічна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ідтримка та модернізація існуючих автоматизованих інформаційно-комунікаційних систем, що використовуються Менською міською радою та її структурними підрозділами.</w:t>
      </w:r>
      <w:r>
        <w:rPr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Пріоритетними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напрямами Програми є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екомунікаційна інфраструктура;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інформаційна інфраструктура;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використання інструментів е-демократії;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впровадження цифрових інструментів у соціальні сфери громади: освіта, медицина, безпека життєдіяльності тощо;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організаційне та методичне забезпечення розвитку цифровізації в громаді;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аційна безпека.</w:t>
      </w:r>
      <w:r>
        <w:rPr>
          <w:sz w:val="28"/>
        </w:rPr>
      </w:r>
      <w:r/>
    </w:p>
    <w:p>
      <w:pPr>
        <w:ind w:left="720" w:firstLine="0"/>
        <w:jc w:val="center"/>
        <w:spacing w:lineRule="auto" w:line="240" w:after="0" w:afterAutospacing="0" w:before="0" w:beforeAutospacing="0"/>
        <w:tabs>
          <w:tab w:val="left" w:pos="130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720" w:firstLine="0"/>
        <w:jc w:val="center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720" w:firstLine="0"/>
        <w:jc w:val="center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720" w:firstLine="0"/>
        <w:jc w:val="center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IV.ЗАХОДИ ПРОГРАМИ</w:t>
      </w:r>
      <w:r>
        <w:rPr>
          <w:sz w:val="28"/>
        </w:rPr>
      </w:r>
      <w:r/>
    </w:p>
    <w:p>
      <w:pPr>
        <w:ind w:left="720" w:firstLine="0"/>
        <w:jc w:val="both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Розвиток телекомунікаційної інфраструктури.</w:t>
      </w:r>
      <w:r>
        <w:rPr>
          <w:sz w:val="28"/>
        </w:rPr>
      </w:r>
      <w:r/>
    </w:p>
    <w:p>
      <w:pPr>
        <w:ind w:left="0" w:right="0" w:firstLine="74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Реалізація заходів з розвитку цифрової телекомунікаційної інфраструктури забезпечить населення громади доступом до мережі інтернет, що, в свою чергу, забезпечить доступність громадян до інформаційних ресурсів громади, отримання електронних послуг (адмініст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ративних, комунальних, соціальних тощо), інструментів електронної демократії, підвищить участь громади в процесах управління ОМС тощо.</w:t>
      </w:r>
      <w:r>
        <w:rPr>
          <w:sz w:val="28"/>
        </w:rPr>
      </w:r>
      <w:r/>
    </w:p>
    <w:p>
      <w:pPr>
        <w:ind w:left="0" w:right="0" w:firstLine="74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247"/>
        <w:gridCol w:w="992"/>
        <w:gridCol w:w="850"/>
        <w:gridCol w:w="87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розвиток телекомунікаційних сервісів, забезпечення серверним та телекомунікаційним обладнанням;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290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330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забезпечення покриття фіксованим широкосмуговим доступом до мережі інтернет на основі сучасних телекомунікаційних технологій: оптоволоконні мережі, локальні мережі;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сприяння покриттю мобільним широкосмуговим доступом до мережі інтернет: 3G, 4G;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розгортання публічних WiFi-точок доступу до мережі інтернет;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забезпечення широкосмуговим доступом до мережі інтернет об`єктів соціальної інфраструктури: заклади освіти, заклади медицини, заклади культури, спортивні об`єкти тощо (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видатки передбачаються головними розпорядниками коштів)</w:t>
            </w:r>
            <w:r>
              <w:rPr>
                <w:color w:val="auto"/>
                <w:sz w:val="28"/>
              </w:rPr>
            </w:r>
            <w:r>
              <w:rPr>
                <w:color w:val="auto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Закупівля обладнання для створення первинного аудіо контенту </w:t>
            </w:r>
            <w:r>
              <w:rPr>
                <w:color w:val="auto"/>
                <w:sz w:val="28"/>
              </w:rPr>
            </w:r>
            <w:r>
              <w:rPr>
                <w:color w:val="auto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1100" w:right="0" w:firstLine="0"/>
        <w:jc w:val="both"/>
        <w:spacing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Розвиток інформаційної інфраструктури.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Реалізація заході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з розвитку цифрової інформаційної інфраструктури сприятиме підвищенню якості надання послуг громаді Менською міською радою: скорочення строків опрацювання звернень та надання публічних послуг, створення єдиного захищеного інформаційного простору громади.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70"/>
        <w:gridCol w:w="850"/>
        <w:gridCol w:w="850"/>
        <w:gridCol w:w="85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інформаційних систем підтримки аналітичної та управлінської діяльності ОМС: інформаційні системи управління ресурсами громади (облік комунальних активів, управління кадрами, бюджетування, бухгалтерія тощо), система електронного документообігу,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ГІС;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330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інтеграція електронних інформаційних ресурсів та інформаційних систем ОМС з державними електронними інформаційними ресурсами на основі системи електронної взаємодії державних електронних інформаційних ресурсів;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інтеграція систем електронного документообігу ОМС з системою електронної взаємодії органів виконавчої влади;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інструментів електронної ідентифікації шляхом підключення електронних інформаційних ресурсів та інформаційних систем ОМС до інтегрованої системи електронної ідентифікації.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послуг.</w:t>
      </w:r>
      <w:r>
        <w:rPr>
          <w:sz w:val="28"/>
        </w:rPr>
      </w:r>
      <w:r/>
    </w:p>
    <w:p>
      <w:pPr>
        <w:ind w:left="0" w:right="0" w:firstLine="743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 ОМС забезпечить підвищення якості надання публічних послуг, їх доступність в електронному виді.</w:t>
      </w:r>
      <w:r>
        <w:rPr>
          <w:sz w:val="28"/>
        </w:rPr>
      </w:r>
      <w:r/>
    </w:p>
    <w:p>
      <w:pPr>
        <w:ind w:left="0" w:right="0" w:firstLine="743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70"/>
        <w:gridCol w:w="850"/>
        <w:gridCol w:w="850"/>
        <w:gridCol w:w="85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</w:tbl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369"/>
        <w:gridCol w:w="850"/>
        <w:gridCol w:w="850"/>
        <w:gridCol w:w="850"/>
      </w:tblGrid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автоматизація подання звернень та заяв щодо надання публічних послуг шляхом розроблення та впровадження електронних кабінетів, веб-інструментів попередньої подачі звернень та заяв;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цифровізація або скасування довідок, витягів, виписок шляхом використання можливостей єдиного захищеного інформаційного простору громади;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пілотних проектів із реалізації електронних сервісів та систем у ОТГ;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електронних черг;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реалізація принципу “цифровий за замовчуванням”: послуги надаються за замовчуванням у електронному виді з використанням інструментів електронної ідентифікації;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забезпечення інформування заявника щодо статусу розгляду звернення чи надання послуги.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Впровадження інструментів е-демократії.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Впровадження інструментів електронної демократії забезпечить широке залучення громадян та організацій до місцевого самоврядування шляхом широкого застосування інформаційно-комунікаційних технологій в демократичних процесах, що дає змогу посилити участь, 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ніціативність та залучення громадян на регіональному та місцевому рівні до публічного життя; поліпшити прозорість процесу прийняття рішень, а також підзвітність ОМС; поліпшити зворотну реакцію ОМС на звернення громадян; сприяти публічним дискусіям та приве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ртати увагу громадян до процесу прийняття рішень.</w:t>
      </w:r>
      <w:r>
        <w:rPr>
          <w:sz w:val="28"/>
        </w:rPr>
      </w:r>
      <w:r/>
    </w:p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8"/>
        <w:gridCol w:w="850"/>
        <w:gridCol w:w="850"/>
        <w:gridCol w:w="85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>
          <w:trHeight w:val="7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запровадження проектів зі створення інструментів (сервісів) із застосуванням відкритих даних (мобільний додаток);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інструменту електронних петицій до міської ради;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інструменту громадського бюджету, бюджету участі ОТГ;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інструментів он-лайн обговорення проектів нормативно-правових актів та інших інструментів участі громадян у прийнятті управлінських рішень громади;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впровадження електронних консультації.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Впровадження цифрових інструментів у соціальні сфери громади: освіта, медицина, безпека життєдіяльності.</w:t>
      </w:r>
      <w:r>
        <w:rPr>
          <w:sz w:val="28"/>
        </w:rPr>
      </w:r>
      <w:r/>
    </w:p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372"/>
        <w:gridCol w:w="850"/>
        <w:gridCol w:w="850"/>
        <w:gridCol w:w="85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освіта: запровадження електронних щоденників, електронних журналів; розвиток програм підвищення цифрової грамотності;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color w:val="auto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медицина: впровадження медичних інформаційних систем.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(передбачено в Програмі)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</w:rPr>
              <w:t xml:space="preserve">;</w:t>
            </w:r>
            <w:r>
              <w:rPr>
                <w:color w:val="auto"/>
                <w:sz w:val="28"/>
              </w:rPr>
            </w:r>
            <w:r>
              <w:rPr>
                <w:color w:val="auto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7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безпека життєдіяльності: впровадження систем відеоспостереження; впровадження систем оповіщення. (передбачено в Програмі)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110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Організаційне, ресурсне та методичне забезпечення цифровізації.</w:t>
      </w:r>
      <w:r>
        <w:rPr>
          <w:sz w:val="28"/>
        </w:rPr>
      </w:r>
      <w:r/>
    </w:p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389"/>
        <w:gridCol w:w="850"/>
        <w:gridCol w:w="850"/>
        <w:gridCol w:w="85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проведення оцінки стану цифрового розвитку ОТГ за визначеними показниками;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інвентаризація інформаційних та програмно-технічних ресурсів ОМС з урахуванням вимог нормативно-правових актів стосовно використання комп’ютерних програм;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розробка нормативно-правових та технічних документів, методичних рекомендацій щодо: організації виконання завдань Програми, створення, впровадження та адміністрування інформаційних систем, програмно-технічних комплексів, засобів інформатизації, механізмів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інтеграції систем; організації автоматизованих робочих місць працівників; організації захисту інформації в телекомунікаційних системах ОТГ;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6.4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підтримка безперебійного функціонування існуючих телекомунікаційних сервісів та забезпечення функціонування широкосмугових каналів зв’язку;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6.5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засобів інформатизації для міської ради, обладнання та ліцензійного програмного забезпечення;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6.6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поновлення ліцензій на використання раніше придбаного програмного забезпечення;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6.7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організація навчання фахівців та громадян ОТГз питань цифрових навичок та компетенцій;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6.8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сприяння формування потреб населення у використанні цифрових технологій громадянами та розвитку відповідних цифрових компетенцій, у тому числі шляхом виготовлення та розповсюдження мультимедійної та печатної продукції тощо;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6.9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участь у міжнародних конференціях, національних науково-практичних конференціях, регіональних семінарах, круглих столах, відеоконференціях за участю керівників органів влади, науковців, представників громадських організацій та бізнес-структур щодо впровадж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ення новітніх інформаційних технологій, електронного урядування тощо.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0" w:right="0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</w:rPr>
      </w:r>
      <w:r/>
    </w:p>
    <w:p>
      <w:pPr>
        <w:numPr>
          <w:ilvl w:val="0"/>
          <w:numId w:val="29"/>
        </w:numPr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Інформаційна безпека.</w:t>
      </w:r>
      <w:r>
        <w:rPr>
          <w:sz w:val="28"/>
        </w:rPr>
      </w:r>
      <w:r/>
    </w:p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заходи:</w:t>
      </w:r>
      <w:r>
        <w:rPr>
          <w:sz w:val="28"/>
        </w:rPr>
      </w:r>
      <w:r/>
    </w:p>
    <w:tbl>
      <w:tblPr>
        <w:tblStyle w:val="85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362"/>
        <w:gridCol w:w="850"/>
        <w:gridCol w:w="850"/>
        <w:gridCol w:w="850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№ п.п.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center"/>
              <w:spacing w:after="240" w:before="24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заходу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Видатки по роках тис.грн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2023 рік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2024 рік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забезпечення організаційних та технічних заходів захисту інформації;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розбудова систем захисту інформації та управління інформаційною системою;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7.3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створення комплексних систем захисту інформації на програмно-технічні комплекси, інформаційні системи тощо.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1034" w:leader="none"/>
              </w:tabs>
              <w:rPr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sz w:val="28"/>
              </w:rPr>
            </w:r>
            <w:r/>
          </w:p>
        </w:tc>
      </w:tr>
    </w:tbl>
    <w:p>
      <w:pPr>
        <w:ind w:left="740" w:right="0" w:firstLine="0"/>
        <w:jc w:val="both"/>
        <w:spacing w:lineRule="auto" w:line="240" w:after="0" w:before="0"/>
        <w:tabs>
          <w:tab w:val="left" w:pos="10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V. ПРИНЦИПИ ФОРМУВАННЯ ТА ВИКОНАННЯ ПРОГРАМИ</w:t>
      </w:r>
      <w:r>
        <w:rPr>
          <w:sz w:val="28"/>
        </w:rPr>
      </w:r>
      <w:r/>
    </w:p>
    <w:p>
      <w:pPr>
        <w:ind w:left="720" w:firstLine="0"/>
        <w:jc w:val="center"/>
        <w:spacing w:lineRule="auto" w:line="240" w:after="0" w:afterAutospacing="0" w:before="0" w:beforeAutospacing="0"/>
        <w:tabs>
          <w:tab w:val="left" w:pos="1300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Принципи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формування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передбачають: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ідкритість та прозорість процесу формування завдань та заходів Програми, забезпечення участі в ньому громадян та бізнесу;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системність, комплексність, взаємоузгодженість та обґрунтованість завдань та заходів Програми;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ресурсну забезпеченість Програми;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ипереджаючий розвиток нормативно-правової бази регулювання відносин учасників створення та реалізації Програми.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Реалізація Програми має здійснюватися з додержанням таких основних принципів: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узгодженість пріоритетів інформатизації ОТГ з основними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прямами соціально-економічного розвитку громади та регіону;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спадковість, поступовість і безперервність при реалізації завдань Програми на наступні роки;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відкритість, прозорість процесу виконання завдань та заходів Програми;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випереджаючий розвиток нормативно-правової бази з врегулювання відносин учасників створення, розповсюдження й використання інформаційних продуктів і послуг;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моніто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ринг та оцінювання виконання завдань.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Успішність реалізації Програми забезпечується: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ежним ступенем координації, розробки та реалізації Програми щодо цілей, етапів, ресурсів та об’єктів робіт;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належним рівнем організаційного і фінансового забезпечення виконання завдань інформатизації;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ефективним управлінням ресурсами (їх перерозподілом та концентрацією на користь пріоритетних та найбільш резуль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тативних напрямів інформатизації) на основі постійного моніторингу виконання завдань.</w:t>
      </w:r>
      <w:r>
        <w:rPr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Передбачаються такі джерела фінансування Програми: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шти місцевого бюджету (у тому числі на засадах співфінансування);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джерела, не заборонені чинним законодавством України.</w:t>
      </w:r>
      <w:r>
        <w:rPr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VI.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ОРГАНІЗАЦІЙНЕ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ЗАБЕЗПЕЧЕННЯ ВИКОНАННЯ ПРОГРАМИ</w:t>
      </w:r>
      <w:r>
        <w:rPr>
          <w:sz w:val="28"/>
        </w:rPr>
      </w:r>
      <w:r/>
    </w:p>
    <w:p>
      <w:pPr>
        <w:ind w:left="720" w:firstLine="0"/>
        <w:jc w:val="both"/>
        <w:spacing w:lineRule="auto" w:line="240" w:after="0" w:afterAutospacing="0" w:before="0" w:beforeAutospacing="0"/>
        <w:tabs>
          <w:tab w:val="left" w:pos="991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Функції замовника та координація робіт щодо виконання завдань Програми покладаються на відділ цифрових трансформацій та комунікацій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ради.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Нагляд за формуванням і виконанням Програми, аналіз результатів виконан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ня</w:t>
      </w:r>
      <w:r>
        <w:rPr>
          <w:rFonts w:ascii="Times New Roman" w:hAnsi="Times New Roman" w:cs="Times New Roman" w:eastAsia="Times New Roman"/>
          <w:sz w:val="28"/>
        </w:rPr>
        <w:t xml:space="preserve"> окремих завдань (робіт) та оцінку їх якості здійснює керівник Програми. Керівник Програми – перший заступник міського голови. 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 метою координації заходів по виконанню Програми к</w:t>
      </w:r>
      <w:r>
        <w:rPr>
          <w:rFonts w:ascii="Times New Roman" w:hAnsi="Times New Roman" w:cs="Times New Roman" w:eastAsia="Times New Roman"/>
          <w:sz w:val="28"/>
        </w:rPr>
        <w:t xml:space="preserve">ерівник програми має право утворити організаційно-технічну раду з питань </w:t>
      </w:r>
      <w:r>
        <w:rPr>
          <w:rFonts w:ascii="Times New Roman" w:hAnsi="Times New Roman" w:cs="Times New Roman" w:eastAsia="Times New Roman"/>
          <w:sz w:val="28"/>
        </w:rPr>
        <w:t xml:space="preserve">інформатизації 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Виконання завдань Програми розраховано на 3 роки: 2022 – 2024 роки. 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Відд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іл цифрових трансформацій та комунікацій щоквартально готує керівнику програми інформацію про її виконання.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67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VII. ФІНАНСОВЕ ЗАБЕЗПЕЧЕННЯ</w:t>
      </w:r>
      <w:r>
        <w:rPr>
          <w:sz w:val="28"/>
        </w:rPr>
      </w:r>
      <w:r/>
    </w:p>
    <w:p>
      <w:pPr>
        <w:ind w:left="0" w:right="0" w:firstLine="567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заходів Програми проводиться в установленому законодавством порядку за рахунок коштів місцевого бюджету </w:t>
      </w:r>
      <w:r>
        <w:rPr>
          <w:rFonts w:ascii="Times New Roman" w:hAnsi="Times New Roman" w:cs="Times New Roman" w:eastAsia="Times New Roman"/>
          <w:color w:val="222222"/>
          <w:sz w:val="28"/>
          <w:highlight w:val="white"/>
        </w:rPr>
        <w:t xml:space="preserve">в межах коштів передбачених у бюджеті на відповідний рік, та може змінюватися в залежності від фінансових можливостей бюджет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за рахунок інших джерел, не заборонених чинним законодавством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4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9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VIII. ОЧІКУВАНІ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РЕЗУЛЬТАТИ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 СФЕРІ ЦИФРОВІЗАЦІЇ ТА ЇХ ВПЛИВ НА СОЦІАЛЬНО-ЕКОНОМІЧНИЙ РОЗВИТОК МЕНСЬКОЇ ТЕРИТОРІАЛЬНОЇ ГРОМАДИ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результаті досягнення цілей Програми значними надбаннями цифровізації, що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прискорять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успіх у вирішенні завдань соціально-економічного розвитку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територіальної громади у інформаційний простір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стануть: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римання громадянами рівного якісного доступу до адміністративних, соціальних,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комунальних послуг, послуг у сферах освіти, охорони здоров’я тощо;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електронних інформаційних ресурсів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надання електронних адміністративних послуг;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ступеня інтегрованості Менської територіальної громади у інформаційний простір;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дова сучасної системи публічного управління з питань розвитку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результаті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завдань і заходів Програми очікується: 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громадян до процесів прийняття та оцінювання управлінських рішень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шляхом широкого застосування інформаційно-комунікаційних технологій через впровадження та підтримку в актуальному стані на інтернет-ресурсах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електронних сервісів звернень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ромадян, обговорень проектів розпорядчих документів, бюджету участі, формування електронних майданчиків тощо;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доступу для громадян та бізнес-структур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систем електронних сервісів через розвиток телекомунікаційного середовища та впровадження електронних сервісів у сфері освіти, охорони здоров’я та житлово-комунального господарства тощо;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охоплення системами електронного документообігу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ради, її структурних підрозділів та комунальних підприємств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використанням електронного цифрового підпису та інших систем ідентифікації для чого: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запровадити систему безпаперового розгляду звернень громадян 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Менській міській раді, її структурних підрозділах та комунальних підприємствах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функціонування реєстру територіальної громади та його інтеграція з базовими державними електронними інформаційними ресурсами;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запровадження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базової</w:t>
      </w:r>
      <w:r>
        <w:rPr>
          <w:rFonts w:ascii="Times New Roman" w:hAnsi="Times New Roman" w:cs="Times New Roman" w:eastAsia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системи освіти у сфері використання комп’ютерних технологій, загальних цифрових компетенцій для мешканців Менської ОТГ, службових та посадових осіб ОМС шляхом: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участі представників громади в проведенні курсів підвищення кваліфікації з питань інформатизації;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запровадження хмарних сервісів для організації дистанційного навчання, підвищення кваліфікації посадових осіб міської ради, її структурних підрозділів та населення з питань використання інформаційних технологій;</w:t>
      </w:r>
      <w:r>
        <w:rPr>
          <w:sz w:val="28"/>
        </w:rPr>
      </w:r>
      <w:r/>
    </w:p>
    <w:p>
      <w:pPr>
        <w:pStyle w:val="837"/>
        <w:numPr>
          <w:ilvl w:val="0"/>
          <w:numId w:val="1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провести низку заходів з правил користування електронними послугами, різноманітними пошуковими системами та сервісами.</w:t>
      </w:r>
      <w:r>
        <w:rPr>
          <w:sz w:val="28"/>
        </w:rPr>
      </w:r>
      <w:r/>
    </w:p>
    <w:p>
      <w:pPr>
        <w:ind w:firstLine="0"/>
        <w:shd w:val="nil" w:color="00000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hd w:val="nil" w:color="auto"/>
        <w:rPr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  <w:t xml:space="preserve">Начальник відділу цифрових трансформацій</w:t>
      </w:r>
      <w:r>
        <w:rPr>
          <w:sz w:val="28"/>
          <w:highlight w:val="none"/>
        </w:rPr>
      </w:r>
      <w:r>
        <w:rPr>
          <w:sz w:val="28"/>
          <w:highlight w:val="none"/>
        </w:rPr>
      </w: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ind w:firstLine="0"/>
        <w:shd w:val="nil" w:color="000000"/>
        <w:rPr>
          <w:sz w:val="28"/>
          <w:highlight w:val="none"/>
        </w:rPr>
      </w:pPr>
      <w:r>
        <w:rPr>
          <w:sz w:val="28"/>
          <w:highlight w:val="none"/>
        </w:rPr>
        <w:t xml:space="preserve">та комунікацій Менської міської ради                                   Володимир КОРДАШ</w:t>
      </w:r>
      <w:r>
        <w:rPr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продовження додатка</w:t>
    </w:r>
    <w:r>
      <w:rPr>
        <w:i/>
      </w:rPr>
    </w:r>
    <w:r/>
  </w:p>
  <w:p>
    <w:pPr>
      <w:pStyle w:val="8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4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9">
    <w:name w:val="Heading 1"/>
    <w:basedOn w:val="997"/>
    <w:next w:val="997"/>
    <w:link w:val="820"/>
    <w:qFormat/>
    <w:uiPriority w:val="9"/>
    <w:rPr>
      <w:rFonts w:ascii="Times New Roman" w:hAnsi="Times New Roman" w:cs="Times New Roman" w:eastAsia="Times New Roman"/>
      <w:b/>
      <w:color w:val="000000"/>
      <w:sz w:val="28"/>
    </w:rPr>
    <w:pPr>
      <w:ind w:left="0" w:right="0" w:firstLine="0"/>
      <w:jc w:val="center"/>
      <w:spacing w:lineRule="auto" w:line="240" w:after="0" w:afterAutospacing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0">
    <w:name w:val="Heading 1 Char"/>
    <w:link w:val="819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paragraph" w:styleId="821">
    <w:name w:val="Heading 2"/>
    <w:basedOn w:val="997"/>
    <w:next w:val="997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2">
    <w:name w:val="Heading 2 Char"/>
    <w:basedOn w:val="998"/>
    <w:link w:val="821"/>
    <w:uiPriority w:val="9"/>
    <w:rPr>
      <w:rFonts w:ascii="Arial" w:hAnsi="Arial" w:cs="Arial" w:eastAsia="Arial"/>
      <w:sz w:val="34"/>
    </w:rPr>
  </w:style>
  <w:style w:type="paragraph" w:styleId="823">
    <w:name w:val="Heading 3"/>
    <w:basedOn w:val="997"/>
    <w:next w:val="997"/>
    <w:link w:val="8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4">
    <w:name w:val="Heading 3 Char"/>
    <w:basedOn w:val="998"/>
    <w:link w:val="823"/>
    <w:uiPriority w:val="9"/>
    <w:rPr>
      <w:rFonts w:ascii="Arial" w:hAnsi="Arial" w:cs="Arial" w:eastAsia="Arial"/>
      <w:sz w:val="30"/>
      <w:szCs w:val="30"/>
    </w:rPr>
  </w:style>
  <w:style w:type="paragraph" w:styleId="825">
    <w:name w:val="Heading 4"/>
    <w:basedOn w:val="997"/>
    <w:next w:val="997"/>
    <w:link w:val="8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6">
    <w:name w:val="Heading 4 Char"/>
    <w:basedOn w:val="998"/>
    <w:link w:val="825"/>
    <w:uiPriority w:val="9"/>
    <w:rPr>
      <w:rFonts w:ascii="Arial" w:hAnsi="Arial" w:cs="Arial" w:eastAsia="Arial"/>
      <w:b/>
      <w:bCs/>
      <w:sz w:val="26"/>
      <w:szCs w:val="26"/>
    </w:rPr>
  </w:style>
  <w:style w:type="paragraph" w:styleId="827">
    <w:name w:val="Heading 5"/>
    <w:basedOn w:val="997"/>
    <w:next w:val="997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8">
    <w:name w:val="Heading 5 Char"/>
    <w:basedOn w:val="998"/>
    <w:link w:val="827"/>
    <w:uiPriority w:val="9"/>
    <w:rPr>
      <w:rFonts w:ascii="Arial" w:hAnsi="Arial" w:cs="Arial" w:eastAsia="Arial"/>
      <w:b/>
      <w:bCs/>
      <w:sz w:val="24"/>
      <w:szCs w:val="24"/>
    </w:rPr>
  </w:style>
  <w:style w:type="paragraph" w:styleId="829">
    <w:name w:val="Heading 6"/>
    <w:basedOn w:val="997"/>
    <w:next w:val="997"/>
    <w:link w:val="8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30">
    <w:name w:val="Heading 6 Char"/>
    <w:basedOn w:val="998"/>
    <w:link w:val="829"/>
    <w:uiPriority w:val="9"/>
    <w:rPr>
      <w:rFonts w:ascii="Arial" w:hAnsi="Arial" w:cs="Arial" w:eastAsia="Arial"/>
      <w:b/>
      <w:bCs/>
      <w:sz w:val="22"/>
      <w:szCs w:val="22"/>
    </w:rPr>
  </w:style>
  <w:style w:type="paragraph" w:styleId="831">
    <w:name w:val="Heading 7"/>
    <w:basedOn w:val="997"/>
    <w:next w:val="997"/>
    <w:link w:val="8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32">
    <w:name w:val="Heading 7 Char"/>
    <w:basedOn w:val="998"/>
    <w:link w:val="8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3">
    <w:name w:val="Heading 8"/>
    <w:basedOn w:val="997"/>
    <w:next w:val="997"/>
    <w:link w:val="8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34">
    <w:name w:val="Heading 8 Char"/>
    <w:basedOn w:val="998"/>
    <w:link w:val="833"/>
    <w:uiPriority w:val="9"/>
    <w:rPr>
      <w:rFonts w:ascii="Arial" w:hAnsi="Arial" w:cs="Arial" w:eastAsia="Arial"/>
      <w:i/>
      <w:iCs/>
      <w:sz w:val="22"/>
      <w:szCs w:val="22"/>
    </w:rPr>
  </w:style>
  <w:style w:type="paragraph" w:styleId="835">
    <w:name w:val="Heading 9"/>
    <w:basedOn w:val="997"/>
    <w:next w:val="997"/>
    <w:link w:val="8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6">
    <w:name w:val="Heading 9 Char"/>
    <w:basedOn w:val="998"/>
    <w:link w:val="835"/>
    <w:uiPriority w:val="9"/>
    <w:rPr>
      <w:rFonts w:ascii="Arial" w:hAnsi="Arial" w:cs="Arial" w:eastAsia="Arial"/>
      <w:i/>
      <w:iCs/>
      <w:sz w:val="21"/>
      <w:szCs w:val="21"/>
    </w:rPr>
  </w:style>
  <w:style w:type="paragraph" w:styleId="837">
    <w:name w:val="List Paragraph"/>
    <w:basedOn w:val="997"/>
    <w:qFormat/>
    <w:uiPriority w:val="34"/>
    <w:pPr>
      <w:contextualSpacing w:val="true"/>
      <w:ind w:left="720"/>
    </w:pPr>
  </w:style>
  <w:style w:type="paragraph" w:styleId="838">
    <w:name w:val="No Spacing"/>
    <w:qFormat/>
    <w:uiPriority w:val="1"/>
    <w:pPr>
      <w:spacing w:lineRule="auto" w:line="240" w:after="0" w:before="0"/>
    </w:pPr>
  </w:style>
  <w:style w:type="paragraph" w:styleId="839">
    <w:name w:val="Title"/>
    <w:basedOn w:val="997"/>
    <w:next w:val="997"/>
    <w:link w:val="8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0">
    <w:name w:val="Title Char"/>
    <w:basedOn w:val="998"/>
    <w:link w:val="839"/>
    <w:uiPriority w:val="10"/>
    <w:rPr>
      <w:sz w:val="48"/>
      <w:szCs w:val="48"/>
    </w:rPr>
  </w:style>
  <w:style w:type="paragraph" w:styleId="841">
    <w:name w:val="Subtitle"/>
    <w:basedOn w:val="997"/>
    <w:next w:val="997"/>
    <w:link w:val="842"/>
    <w:qFormat/>
    <w:uiPriority w:val="11"/>
    <w:rPr>
      <w:sz w:val="24"/>
      <w:szCs w:val="24"/>
    </w:rPr>
    <w:pPr>
      <w:spacing w:after="200" w:before="200"/>
    </w:pPr>
  </w:style>
  <w:style w:type="character" w:styleId="842">
    <w:name w:val="Subtitle Char"/>
    <w:basedOn w:val="998"/>
    <w:link w:val="841"/>
    <w:uiPriority w:val="11"/>
    <w:rPr>
      <w:sz w:val="24"/>
      <w:szCs w:val="24"/>
    </w:rPr>
  </w:style>
  <w:style w:type="paragraph" w:styleId="843">
    <w:name w:val="Quote"/>
    <w:basedOn w:val="997"/>
    <w:next w:val="997"/>
    <w:link w:val="844"/>
    <w:qFormat/>
    <w:uiPriority w:val="29"/>
    <w:rPr>
      <w:i/>
    </w:rPr>
    <w:pPr>
      <w:ind w:left="720" w:right="720"/>
    </w:pPr>
  </w:style>
  <w:style w:type="character" w:styleId="844">
    <w:name w:val="Quote Char"/>
    <w:link w:val="843"/>
    <w:uiPriority w:val="29"/>
    <w:rPr>
      <w:i/>
    </w:rPr>
  </w:style>
  <w:style w:type="paragraph" w:styleId="845">
    <w:name w:val="Intense Quote"/>
    <w:basedOn w:val="997"/>
    <w:next w:val="997"/>
    <w:link w:val="84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6">
    <w:name w:val="Intense Quote Char"/>
    <w:link w:val="845"/>
    <w:uiPriority w:val="30"/>
    <w:rPr>
      <w:i/>
    </w:rPr>
  </w:style>
  <w:style w:type="paragraph" w:styleId="847">
    <w:name w:val="Header"/>
    <w:basedOn w:val="997"/>
    <w:link w:val="8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8">
    <w:name w:val="Header Char"/>
    <w:basedOn w:val="998"/>
    <w:link w:val="847"/>
    <w:uiPriority w:val="99"/>
  </w:style>
  <w:style w:type="paragraph" w:styleId="849">
    <w:name w:val="Footer"/>
    <w:basedOn w:val="997"/>
    <w:link w:val="8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0">
    <w:name w:val="Footer Char"/>
    <w:basedOn w:val="998"/>
    <w:link w:val="849"/>
    <w:uiPriority w:val="99"/>
  </w:style>
  <w:style w:type="paragraph" w:styleId="851">
    <w:name w:val="Caption"/>
    <w:basedOn w:val="997"/>
    <w:next w:val="9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52">
    <w:name w:val="Caption Char"/>
    <w:basedOn w:val="851"/>
    <w:link w:val="849"/>
    <w:uiPriority w:val="99"/>
  </w:style>
  <w:style w:type="table" w:styleId="853">
    <w:name w:val="Table Grid"/>
    <w:basedOn w:val="9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Table Grid Light"/>
    <w:basedOn w:val="9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>
    <w:name w:val="Plain Table 1"/>
    <w:basedOn w:val="9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6">
    <w:name w:val="Plain Table 2"/>
    <w:basedOn w:val="9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7">
    <w:name w:val="Plain Table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8">
    <w:name w:val="Plain Table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Plain Table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60">
    <w:name w:val="Grid Table 1 Light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1 Light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68">
    <w:name w:val="Grid Table 2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69">
    <w:name w:val="Grid Table 2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0">
    <w:name w:val="Grid Table 2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1">
    <w:name w:val="Grid Table 2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2">
    <w:name w:val="Grid Table 2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3">
    <w:name w:val="Grid Table 2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4">
    <w:name w:val="Grid Table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>
    <w:name w:val="Grid Table 3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>
    <w:name w:val="Grid Table 3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>
    <w:name w:val="Grid Table 3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>
    <w:name w:val="Grid Table 3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>
    <w:name w:val="Grid Table 3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>
    <w:name w:val="Grid Table 3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Grid Table 4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82">
    <w:name w:val="Grid Table 4 - Accent 1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83">
    <w:name w:val="Grid Table 4 - Accent 2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84">
    <w:name w:val="Grid Table 4 - Accent 3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85">
    <w:name w:val="Grid Table 4 - Accent 4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86">
    <w:name w:val="Grid Table 4 - Accent 5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87">
    <w:name w:val="Grid Table 4 - Accent 6"/>
    <w:basedOn w:val="9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88">
    <w:name w:val="Grid Table 5 Dark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9">
    <w:name w:val="Grid Table 5 Dark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90">
    <w:name w:val="Grid Table 5 Dark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91">
    <w:name w:val="Grid Table 5 Dark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92">
    <w:name w:val="Grid Table 5 Dark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93">
    <w:name w:val="Grid Table 5 Dark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94">
    <w:name w:val="Grid Table 5 Dark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95">
    <w:name w:val="Grid Table 6 Colorful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6">
    <w:name w:val="Grid Table 6 Colorful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7">
    <w:name w:val="Grid Table 6 Colorful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8">
    <w:name w:val="Grid Table 6 Colorful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9">
    <w:name w:val="Grid Table 6 Colorful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0">
    <w:name w:val="Grid Table 6 Colorful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1">
    <w:name w:val="Grid Table 6 Colorful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2">
    <w:name w:val="Grid Table 7 Colorful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3">
    <w:name w:val="Grid Table 7 Colorful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>
    <w:name w:val="Grid Table 7 Colorful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>
    <w:name w:val="Grid Table 7 Colorful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6">
    <w:name w:val="Grid Table 7 Colorful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>
    <w:name w:val="Grid Table 7 Colorful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08">
    <w:name w:val="Grid Table 7 Colorful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09">
    <w:name w:val="List Table 1 Light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10">
    <w:name w:val="List Table 1 Light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1">
    <w:name w:val="List Table 1 Light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12">
    <w:name w:val="List Table 1 Light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13">
    <w:name w:val="List Table 1 Light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14">
    <w:name w:val="List Table 1 Light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5">
    <w:name w:val="List Table 1 Light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6">
    <w:name w:val="List Table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17">
    <w:name w:val="List Table 2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18">
    <w:name w:val="List Table 2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19">
    <w:name w:val="List Table 2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20">
    <w:name w:val="List Table 2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21">
    <w:name w:val="List Table 2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22">
    <w:name w:val="List Table 2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23">
    <w:name w:val="List Table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3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5 Dark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8">
    <w:name w:val="List Table 5 Dark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6 Colorful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45">
    <w:name w:val="List Table 6 Colorful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46">
    <w:name w:val="List Table 6 Colorful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47">
    <w:name w:val="List Table 6 Colorful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48">
    <w:name w:val="List Table 6 Colorful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49">
    <w:name w:val="List Table 6 Colorful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50">
    <w:name w:val="List Table 6 Colorful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51">
    <w:name w:val="List Table 7 Colorful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2">
    <w:name w:val="List Table 7 Colorful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3">
    <w:name w:val="List Table 7 Colorful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4">
    <w:name w:val="List Table 7 Colorful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5">
    <w:name w:val="List Table 7 Colorful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6">
    <w:name w:val="List Table 7 Colorful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7">
    <w:name w:val="List Table 7 Colorful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8">
    <w:name w:val="Lined - Accent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59">
    <w:name w:val="Lined - Accent 1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60">
    <w:name w:val="Lined - Accent 2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61">
    <w:name w:val="Lined - Accent 3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62">
    <w:name w:val="Lined - Accent 4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63">
    <w:name w:val="Lined - Accent 5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64">
    <w:name w:val="Lined - Accent 6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65">
    <w:name w:val="Bordered &amp; Lined - Accent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66">
    <w:name w:val="Bordered &amp; Lined - Accent 1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67">
    <w:name w:val="Bordered &amp; Lined - Accent 2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68">
    <w:name w:val="Bordered &amp; Lined - Accent 3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69">
    <w:name w:val="Bordered &amp; Lined - Accent 4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70">
    <w:name w:val="Bordered &amp; Lined - Accent 5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71">
    <w:name w:val="Bordered &amp; Lined - Accent 6"/>
    <w:basedOn w:val="9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72">
    <w:name w:val="Bordered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73">
    <w:name w:val="Bordered - Accent 1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74">
    <w:name w:val="Bordered - Accent 2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75">
    <w:name w:val="Bordered - Accent 3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76">
    <w:name w:val="Bordered - Accent 4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77">
    <w:name w:val="Bordered - Accent 5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78">
    <w:name w:val="Bordered - Accent 6"/>
    <w:basedOn w:val="9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79">
    <w:name w:val="Hyperlink"/>
    <w:uiPriority w:val="99"/>
    <w:unhideWhenUsed/>
    <w:rPr>
      <w:color w:val="0000FF" w:themeColor="hyperlink"/>
      <w:u w:val="single"/>
    </w:rPr>
  </w:style>
  <w:style w:type="paragraph" w:styleId="980">
    <w:name w:val="footnote text"/>
    <w:basedOn w:val="997"/>
    <w:link w:val="981"/>
    <w:uiPriority w:val="99"/>
    <w:semiHidden/>
    <w:unhideWhenUsed/>
    <w:rPr>
      <w:sz w:val="18"/>
    </w:rPr>
    <w:pPr>
      <w:spacing w:lineRule="auto" w:line="240" w:after="40"/>
    </w:pPr>
  </w:style>
  <w:style w:type="character" w:styleId="981">
    <w:name w:val="Footnote Text Char"/>
    <w:link w:val="980"/>
    <w:uiPriority w:val="99"/>
    <w:rPr>
      <w:sz w:val="18"/>
    </w:rPr>
  </w:style>
  <w:style w:type="character" w:styleId="982">
    <w:name w:val="footnote reference"/>
    <w:basedOn w:val="998"/>
    <w:uiPriority w:val="99"/>
    <w:unhideWhenUsed/>
    <w:rPr>
      <w:vertAlign w:val="superscript"/>
    </w:rPr>
  </w:style>
  <w:style w:type="paragraph" w:styleId="983">
    <w:name w:val="endnote text"/>
    <w:basedOn w:val="997"/>
    <w:link w:val="984"/>
    <w:uiPriority w:val="99"/>
    <w:semiHidden/>
    <w:unhideWhenUsed/>
    <w:rPr>
      <w:sz w:val="20"/>
    </w:rPr>
    <w:pPr>
      <w:spacing w:lineRule="auto" w:line="240" w:after="0"/>
    </w:pPr>
  </w:style>
  <w:style w:type="character" w:styleId="984">
    <w:name w:val="Endnote Text Char"/>
    <w:link w:val="983"/>
    <w:uiPriority w:val="99"/>
    <w:rPr>
      <w:sz w:val="20"/>
    </w:rPr>
  </w:style>
  <w:style w:type="character" w:styleId="985">
    <w:name w:val="endnote reference"/>
    <w:basedOn w:val="998"/>
    <w:uiPriority w:val="99"/>
    <w:semiHidden/>
    <w:unhideWhenUsed/>
    <w:rPr>
      <w:vertAlign w:val="superscript"/>
    </w:rPr>
  </w:style>
  <w:style w:type="paragraph" w:styleId="986">
    <w:name w:val="toc 1"/>
    <w:basedOn w:val="997"/>
    <w:next w:val="997"/>
    <w:uiPriority w:val="39"/>
    <w:unhideWhenUsed/>
    <w:pPr>
      <w:ind w:left="0" w:right="0" w:firstLine="0"/>
      <w:spacing w:after="57"/>
    </w:pPr>
  </w:style>
  <w:style w:type="paragraph" w:styleId="987">
    <w:name w:val="toc 2"/>
    <w:basedOn w:val="997"/>
    <w:next w:val="997"/>
    <w:uiPriority w:val="39"/>
    <w:unhideWhenUsed/>
    <w:pPr>
      <w:ind w:left="283" w:right="0" w:firstLine="0"/>
      <w:spacing w:after="57"/>
    </w:pPr>
  </w:style>
  <w:style w:type="paragraph" w:styleId="988">
    <w:name w:val="toc 3"/>
    <w:basedOn w:val="997"/>
    <w:next w:val="997"/>
    <w:uiPriority w:val="39"/>
    <w:unhideWhenUsed/>
    <w:pPr>
      <w:ind w:left="567" w:right="0" w:firstLine="0"/>
      <w:spacing w:after="57"/>
    </w:pPr>
  </w:style>
  <w:style w:type="paragraph" w:styleId="989">
    <w:name w:val="toc 4"/>
    <w:basedOn w:val="997"/>
    <w:next w:val="997"/>
    <w:uiPriority w:val="39"/>
    <w:unhideWhenUsed/>
    <w:pPr>
      <w:ind w:left="850" w:right="0" w:firstLine="0"/>
      <w:spacing w:after="57"/>
    </w:pPr>
  </w:style>
  <w:style w:type="paragraph" w:styleId="990">
    <w:name w:val="toc 5"/>
    <w:basedOn w:val="997"/>
    <w:next w:val="997"/>
    <w:uiPriority w:val="39"/>
    <w:unhideWhenUsed/>
    <w:pPr>
      <w:ind w:left="1134" w:right="0" w:firstLine="0"/>
      <w:spacing w:after="57"/>
    </w:pPr>
  </w:style>
  <w:style w:type="paragraph" w:styleId="991">
    <w:name w:val="toc 6"/>
    <w:basedOn w:val="997"/>
    <w:next w:val="997"/>
    <w:uiPriority w:val="39"/>
    <w:unhideWhenUsed/>
    <w:pPr>
      <w:ind w:left="1417" w:right="0" w:firstLine="0"/>
      <w:spacing w:after="57"/>
    </w:pPr>
  </w:style>
  <w:style w:type="paragraph" w:styleId="992">
    <w:name w:val="toc 7"/>
    <w:basedOn w:val="997"/>
    <w:next w:val="997"/>
    <w:uiPriority w:val="39"/>
    <w:unhideWhenUsed/>
    <w:pPr>
      <w:ind w:left="1701" w:right="0" w:firstLine="0"/>
      <w:spacing w:after="57"/>
    </w:pPr>
  </w:style>
  <w:style w:type="paragraph" w:styleId="993">
    <w:name w:val="toc 8"/>
    <w:basedOn w:val="997"/>
    <w:next w:val="997"/>
    <w:uiPriority w:val="39"/>
    <w:unhideWhenUsed/>
    <w:pPr>
      <w:ind w:left="1984" w:right="0" w:firstLine="0"/>
      <w:spacing w:after="57"/>
    </w:pPr>
  </w:style>
  <w:style w:type="paragraph" w:styleId="994">
    <w:name w:val="toc 9"/>
    <w:basedOn w:val="997"/>
    <w:next w:val="997"/>
    <w:uiPriority w:val="39"/>
    <w:unhideWhenUsed/>
    <w:pPr>
      <w:ind w:left="2268" w:right="0" w:firstLine="0"/>
      <w:spacing w:after="57"/>
    </w:pPr>
  </w:style>
  <w:style w:type="paragraph" w:styleId="995">
    <w:name w:val="TOC Heading"/>
    <w:uiPriority w:val="39"/>
    <w:unhideWhenUsed/>
  </w:style>
  <w:style w:type="paragraph" w:styleId="996">
    <w:name w:val="table of figures"/>
    <w:basedOn w:val="997"/>
    <w:next w:val="997"/>
    <w:uiPriority w:val="99"/>
    <w:unhideWhenUsed/>
    <w:pPr>
      <w:spacing w:after="0" w:afterAutospacing="0"/>
    </w:pPr>
  </w:style>
  <w:style w:type="paragraph" w:styleId="99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suppressLineNumbers w:val="0"/>
    </w:pPr>
  </w:style>
  <w:style w:type="character" w:styleId="998" w:default="1">
    <w:name w:val="Default Paragraph Font"/>
    <w:uiPriority w:val="1"/>
    <w:semiHidden/>
    <w:unhideWhenUsed/>
  </w:style>
  <w:style w:type="table" w:styleId="9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0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13</cp:revision>
  <dcterms:created xsi:type="dcterms:W3CDTF">2019-03-29T20:09:00Z</dcterms:created>
  <dcterms:modified xsi:type="dcterms:W3CDTF">2021-11-26T16:22:44Z</dcterms:modified>
</cp:coreProperties>
</file>