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ind w:left="6803" w:right="0" w:firstLine="0"/>
        <w:rPr>
          <w:sz w:val="28"/>
        </w:rPr>
      </w:pPr>
      <w:r>
        <w:rPr>
          <w:sz w:val="28"/>
        </w:rPr>
      </w:r>
      <w:bookmarkStart w:id="0" w:name="_Hlk57804794"/>
      <w:r>
        <w:rPr>
          <w:sz w:val="28"/>
        </w:rPr>
        <w:t xml:space="preserve">Додаток </w:t>
      </w:r>
      <w:r/>
    </w:p>
    <w:p>
      <w:pPr>
        <w:pStyle w:val="872"/>
        <w:ind w:left="6803" w:right="0" w:firstLine="0"/>
        <w:rPr>
          <w:sz w:val="28"/>
        </w:rPr>
      </w:pPr>
      <w:r>
        <w:rPr>
          <w:sz w:val="28"/>
        </w:rPr>
        <w:t xml:space="preserve">до Програми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</w:t>
      </w:r>
      <w:r/>
      <w:r>
        <w:rPr>
          <w:sz w:val="28"/>
        </w:rPr>
      </w:r>
      <w:r/>
    </w:p>
    <w:p>
      <w:pPr>
        <w:pStyle w:val="1025"/>
        <w:ind w:left="7371"/>
        <w:rPr>
          <w:bCs/>
          <w:sz w:val="28"/>
          <w:szCs w:val="32"/>
          <w:lang w:val="uk-UA"/>
        </w:rPr>
      </w:pPr>
      <w:r>
        <w:rPr>
          <w:bCs/>
          <w:sz w:val="28"/>
          <w:szCs w:val="32"/>
          <w:lang w:val="uk-UA"/>
        </w:rPr>
      </w:r>
      <w:r/>
    </w:p>
    <w:p>
      <w:pPr>
        <w:pStyle w:val="1025"/>
        <w:jc w:val="center"/>
        <w:rPr>
          <w:b/>
          <w:bCs/>
          <w:sz w:val="28"/>
          <w:szCs w:val="32"/>
          <w:highlight w:val="none"/>
          <w:lang w:val="uk-UA"/>
        </w:rPr>
      </w:pPr>
      <w:r>
        <w:rPr>
          <w:b/>
          <w:bCs/>
          <w:sz w:val="28"/>
          <w:szCs w:val="32"/>
          <w:lang w:val="uk-UA"/>
        </w:rPr>
        <w:t xml:space="preserve">Порядок </w:t>
      </w:r>
      <w:r>
        <w:rPr>
          <w:b/>
          <w:bCs/>
          <w:sz w:val="28"/>
          <w:szCs w:val="32"/>
          <w:lang w:val="uk-UA"/>
        </w:rPr>
        <w:t xml:space="preserve">реалізації Програми</w:t>
      </w:r>
      <w:r>
        <w:rPr>
          <w:b/>
          <w:sz w:val="28"/>
          <w:szCs w:val="28"/>
          <w:lang w:val="uk-UA"/>
        </w:rPr>
      </w:r>
      <w:r/>
    </w:p>
    <w:p>
      <w:pPr>
        <w:pStyle w:val="104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</w:r>
      <w:r/>
    </w:p>
    <w:p>
      <w:pPr>
        <w:pStyle w:val="1042"/>
        <w:jc w:val="center"/>
        <w:rPr>
          <w:b/>
          <w:sz w:val="28"/>
          <w:szCs w:val="32"/>
          <w:highlight w:val="non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компенсаційних виплат за пільговий проїзд залізничним транспортом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жителів Менської міської 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>
        <w:rPr>
          <w:b/>
          <w:bCs/>
          <w:sz w:val="28"/>
          <w:szCs w:val="32"/>
          <w:lang w:val="uk-UA"/>
        </w:rPr>
      </w:r>
      <w:bookmarkEnd w:id="0"/>
      <w:r>
        <w:rPr>
          <w:b/>
          <w:bCs/>
          <w:sz w:val="28"/>
          <w:szCs w:val="32"/>
          <w:lang w:val="uk-UA"/>
        </w:rPr>
      </w:r>
      <w:r/>
    </w:p>
    <w:p>
      <w:pPr>
        <w:pStyle w:val="1042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32"/>
          <w:highlight w:val="none"/>
          <w:lang w:val="uk-UA"/>
        </w:rPr>
      </w:r>
      <w:r>
        <w:rPr>
          <w:b/>
          <w:bCs/>
          <w:sz w:val="28"/>
          <w:szCs w:val="32"/>
          <w:highlight w:val="none"/>
          <w:lang w:val="uk-UA"/>
        </w:rPr>
      </w:r>
      <w:r/>
    </w:p>
    <w:p>
      <w:pPr>
        <w:pStyle w:val="87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Цей Порядок є документом, який регламентує</w:t>
      </w:r>
      <w:r>
        <w:rPr>
          <w:sz w:val="28"/>
          <w:szCs w:val="28"/>
        </w:rPr>
        <w:br/>
        <w:t xml:space="preserve">механізм проведення відшкодування пільг з послуг зв’язку пільговим категоріям  громадян, які мають таке право відповідно до Закону</w:t>
      </w:r>
      <w:r>
        <w:rPr>
          <w:sz w:val="28"/>
          <w:szCs w:val="28"/>
        </w:rPr>
        <w:br/>
        <w:t xml:space="preserve">України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статус і соціальний захист громадян,які постраждали внаслідок</w:t>
      </w:r>
      <w:r>
        <w:rPr>
          <w:sz w:val="28"/>
          <w:szCs w:val="28"/>
        </w:rPr>
        <w:br/>
        <w:t xml:space="preserve">Чорнобильської катастрофи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, Закону України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статус ветеранів війни,</w:t>
      </w:r>
      <w:r>
        <w:rPr>
          <w:sz w:val="28"/>
          <w:szCs w:val="28"/>
        </w:rPr>
        <w:br/>
        <w:t xml:space="preserve">гарантії їх соціального захисту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, Закону України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жертви нацистських</w:t>
      </w:r>
      <w:r>
        <w:rPr>
          <w:sz w:val="28"/>
          <w:szCs w:val="28"/>
        </w:rPr>
        <w:br/>
        <w:t xml:space="preserve">переслідувань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, Закону України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, Закону України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охорону дитинства</w:t>
      </w:r>
      <w:r>
        <w:rPr>
          <w:color w:val="000000" w:themeColor="text1"/>
          <w:sz w:val="28"/>
          <w:szCs w:val="28"/>
          <w:lang w:val="uk-UA"/>
        </w:rPr>
        <w:t xml:space="preserve">» тощо</w:t>
      </w:r>
      <w:r>
        <w:rPr>
          <w:sz w:val="28"/>
          <w:szCs w:val="28"/>
        </w:rPr>
        <w:t xml:space="preserve"> та компенсаційних виплат за перевезення пільгових категорій громадян, які зареєстровані та проживають на території Менської міської територіальної громади, залізничним транспортом на приміських маршрутах. </w:t>
      </w:r>
      <w:r>
        <w:rPr>
          <w:b/>
          <w:bCs/>
          <w:sz w:val="28"/>
          <w:szCs w:val="32"/>
          <w:lang w:val="uk-UA"/>
        </w:rPr>
      </w:r>
      <w:r/>
    </w:p>
    <w:p>
      <w:pPr>
        <w:pStyle w:val="872"/>
        <w:ind w:firstLine="567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1025"/>
        <w:ind w:left="720"/>
        <w:jc w:val="center"/>
        <w:rPr>
          <w:b/>
          <w:bCs/>
          <w:color w:val="000000"/>
          <w:sz w:val="28"/>
          <w:szCs w:val="28"/>
          <w:highlight w:val="none"/>
          <w:lang w:val="uk-UA" w:bidi="en-US" w:eastAsia="en-US"/>
        </w:rPr>
      </w:pP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1.</w:t>
      </w: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Порядок</w:t>
      </w: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 </w:t>
      </w: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відшкодування </w:t>
      </w: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наданих пільг з послуг зв’язку.</w:t>
      </w: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 </w:t>
      </w:r>
      <w:r/>
    </w:p>
    <w:p>
      <w:pPr>
        <w:pStyle w:val="1025"/>
        <w:ind w:left="720"/>
        <w:jc w:val="center"/>
        <w:rPr>
          <w:b/>
          <w:color w:val="000000"/>
          <w:sz w:val="28"/>
          <w:szCs w:val="28"/>
          <w:lang w:val="uk-UA" w:bidi="en-US" w:eastAsia="en-US"/>
        </w:rPr>
      </w:pPr>
      <w:r>
        <w:rPr>
          <w:b/>
          <w:bCs/>
          <w:color w:val="000000"/>
          <w:sz w:val="28"/>
          <w:szCs w:val="28"/>
          <w:highlight w:val="none"/>
          <w:lang w:val="uk-UA" w:bidi="en-US" w:eastAsia="en-US"/>
        </w:rPr>
      </w:r>
      <w:r>
        <w:rPr>
          <w:b/>
          <w:bCs/>
          <w:color w:val="000000"/>
          <w:sz w:val="28"/>
          <w:szCs w:val="28"/>
          <w:highlight w:val="none"/>
          <w:lang w:val="uk-UA" w:bidi="en-US" w:eastAsia="en-US"/>
        </w:rPr>
      </w:r>
      <w:r/>
    </w:p>
    <w:p>
      <w:pPr>
        <w:pStyle w:val="1025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Реалізація даного напрямку Програми буде здійснюватися відповідно до Договору про відшкодування витрат за надані телекомунікаційні послуги пільговим категоріям громадян, укладеного в установленому чинним законодавством порядку між Менськ</w:t>
      </w:r>
      <w:r>
        <w:rPr>
          <w:color w:val="000000" w:themeColor="text1"/>
          <w:sz w:val="28"/>
          <w:szCs w:val="28"/>
          <w:lang w:val="uk-UA"/>
        </w:rPr>
        <w:t xml:space="preserve">ою міською радою та АТ «Укртелеком». Відшкодування (фінансування) витрат за надані пільги з послуг зв’язку окремим категоріям громадян буде проведено за рахунок коштів, передбачених у бюджеті Менської міської територіальної громади за відповідним напрямком</w:t>
      </w:r>
      <w:r>
        <w:rPr>
          <w:color w:val="000000" w:themeColor="text1"/>
          <w:sz w:val="28"/>
          <w:szCs w:val="28"/>
          <w:lang w:val="uk-UA"/>
        </w:rPr>
        <w:t xml:space="preserve"> у разі відсутності фінансування з Державного бюджету України.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АТ «Укртелеком», що надає послуги зв’язку (стаціонарного телефонного зв’язку), щомісячно </w:t>
      </w:r>
      <w:r>
        <w:rPr>
          <w:sz w:val="28"/>
          <w:szCs w:val="28"/>
        </w:rPr>
        <w:t xml:space="preserve">надсилає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Менській міській раді</w:t>
      </w:r>
      <w:r>
        <w:rPr>
          <w:sz w:val="28"/>
          <w:szCs w:val="28"/>
        </w:rPr>
        <w:t xml:space="preserve"> достовірні </w:t>
      </w:r>
      <w:r>
        <w:rPr>
          <w:sz w:val="28"/>
          <w:szCs w:val="28"/>
        </w:rPr>
        <w:t xml:space="preserve">ро</w:t>
      </w:r>
      <w:r>
        <w:rPr>
          <w:color w:val="000000" w:themeColor="text1"/>
          <w:sz w:val="28"/>
          <w:szCs w:val="28"/>
        </w:rPr>
        <w:t xml:space="preserve">зрахунки видатків на відшкодування витрат, пов’язаних з наданням пільг у минулому місяці на паперових та електронних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-файл)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носіях.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віряння інформації, що міститься у Єдиному державному автоматизованому реєстрі осіб, які мають право на пільги, з інформацією, що надано АТ «Укртелеком»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-файл)</w:t>
      </w:r>
      <w:r>
        <w:rPr>
          <w:sz w:val="28"/>
          <w:szCs w:val="28"/>
        </w:rPr>
        <w:t xml:space="preserve"> здійснює управління соціального захисту населення Корюківс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кої районної державної адміністрації</w:t>
      </w:r>
      <w:r>
        <w:rPr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У разі виявлення розбіжностей чи невідповідності даних у розрахунках, вживає заходи щодо їх усунення </w:t>
      </w:r>
      <w:r>
        <w:rPr>
          <w:sz w:val="28"/>
          <w:szCs w:val="28"/>
        </w:rPr>
        <w:t xml:space="preserve">та письмово інформує </w:t>
      </w:r>
      <w:r>
        <w:rPr>
          <w:sz w:val="28"/>
          <w:szCs w:val="28"/>
        </w:rPr>
        <w:t xml:space="preserve">АТ </w:t>
      </w:r>
      <w:r>
        <w:rPr>
          <w:color w:val="000000" w:themeColor="text1"/>
          <w:sz w:val="28"/>
          <w:szCs w:val="28"/>
        </w:rPr>
        <w:t xml:space="preserve">«Укртелеком»  і </w:t>
      </w:r>
      <w:r>
        <w:rPr>
          <w:sz w:val="28"/>
          <w:szCs w:val="28"/>
        </w:rPr>
        <w:t xml:space="preserve">Менську міську раду.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 вживає заходи щодо запобігання нецільового використання коштів бюджету Менської мі</w:t>
      </w:r>
      <w:r>
        <w:rPr>
          <w:sz w:val="28"/>
          <w:szCs w:val="28"/>
        </w:rPr>
        <w:t xml:space="preserve">ської територіальної громади.</w:t>
      </w:r>
      <w:r/>
    </w:p>
    <w:p>
      <w:pPr>
        <w:pStyle w:val="881"/>
        <w:ind w:left="0" w:right="0" w:firstLine="567"/>
        <w:jc w:val="both"/>
        <w:tabs>
          <w:tab w:val="left" w:pos="70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Повноваження із забезпечення взаємодії між Менською міською радою та Управлінням соціального захисту населення Корюківської райдержадміністрації і АТ «Укртелеком» покладаються на відділ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соціального захисту населення, сім’ї, молоді та</w:t>
      </w:r>
      <w:r>
        <w:rPr>
          <w:color w:val="000000" w:themeColor="text1"/>
          <w:sz w:val="28"/>
          <w:szCs w:val="28"/>
        </w:rPr>
        <w:t xml:space="preserve"> охорони здоров’я Менської міської ради</w:t>
      </w:r>
      <w:r/>
    </w:p>
    <w:p>
      <w:pPr>
        <w:pStyle w:val="881"/>
        <w:ind w:firstLine="720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Відшкодування витрат, пов’язаних з наданням пільг, проводиться Менською міською радою </w:t>
      </w:r>
      <w:r>
        <w:rPr>
          <w:color w:val="000000" w:themeColor="text1"/>
          <w:sz w:val="28"/>
          <w:szCs w:val="28"/>
        </w:rPr>
        <w:t xml:space="preserve">на підставі наданих </w:t>
      </w:r>
      <w:r>
        <w:rPr>
          <w:color w:val="000000" w:themeColor="text1"/>
          <w:sz w:val="28"/>
          <w:szCs w:val="28"/>
        </w:rPr>
        <w:t xml:space="preserve">розрахунк</w:t>
      </w:r>
      <w:r>
        <w:rPr>
          <w:color w:val="000000" w:themeColor="text1"/>
          <w:sz w:val="28"/>
          <w:szCs w:val="28"/>
        </w:rPr>
        <w:t xml:space="preserve">ів</w:t>
      </w:r>
      <w:r>
        <w:rPr>
          <w:color w:val="000000" w:themeColor="text1"/>
          <w:sz w:val="28"/>
          <w:szCs w:val="28"/>
        </w:rPr>
        <w:t xml:space="preserve"> видатків на відшкодування витрат, пов’язаних з наданням пільг</w:t>
      </w:r>
      <w:r>
        <w:rPr>
          <w:color w:val="000000" w:themeColor="text1"/>
          <w:sz w:val="28"/>
          <w:szCs w:val="28"/>
        </w:rPr>
        <w:t xml:space="preserve"> в межах кошторисних призначень на відповідний рік та у разі відсутності фінансування з Державного бюджету України.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pStyle w:val="881"/>
        <w:ind w:firstLine="720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1"/>
        <w:ind w:firstLine="720"/>
        <w:jc w:val="both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</w:t>
      </w:r>
      <w:r>
        <w:rPr>
          <w:b/>
          <w:color w:val="000000" w:themeColor="text1"/>
          <w:sz w:val="28"/>
          <w:szCs w:val="28"/>
        </w:rPr>
        <w:t xml:space="preserve">Порядок проведення компенсаційних виплат за пільгове перевезення залізничним транспортом</w:t>
      </w:r>
      <w:r>
        <w:rPr>
          <w:b/>
          <w:color w:val="000000" w:themeColor="text1"/>
          <w:sz w:val="28"/>
          <w:szCs w:val="28"/>
        </w:rPr>
        <w:t xml:space="preserve"> на приміських маршрутах.</w:t>
      </w:r>
      <w:r/>
    </w:p>
    <w:p>
      <w:pPr>
        <w:pStyle w:val="881"/>
        <w:ind w:firstLine="720"/>
        <w:jc w:val="both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 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Порядок проведення розрахунку втрат доходів </w:t>
      </w:r>
      <w:r>
        <w:rPr>
          <w:sz w:val="28"/>
          <w:szCs w:val="28"/>
          <w:lang w:eastAsia="uk-UA"/>
        </w:rPr>
        <w:t xml:space="preserve">перевізника, який надає послуги з перевезення залізничним транспортом</w:t>
      </w:r>
      <w:r>
        <w:rPr>
          <w:sz w:val="28"/>
        </w:rPr>
        <w:t xml:space="preserve"> на приміських </w:t>
      </w:r>
      <w:r>
        <w:rPr>
          <w:sz w:val="28"/>
        </w:rPr>
        <w:t xml:space="preserve">маршрутах</w:t>
      </w:r>
      <w:r>
        <w:rPr>
          <w:sz w:val="28"/>
        </w:rPr>
        <w:t xml:space="preserve"> окремих категорій громадян, визначає процедуру прийняття від суб’єкт</w:t>
      </w:r>
      <w:r>
        <w:rPr>
          <w:sz w:val="28"/>
        </w:rPr>
        <w:t xml:space="preserve">а</w:t>
      </w:r>
      <w:r>
        <w:rPr>
          <w:sz w:val="28"/>
        </w:rPr>
        <w:t xml:space="preserve"> господарювання, як</w:t>
      </w:r>
      <w:r>
        <w:rPr>
          <w:sz w:val="28"/>
        </w:rPr>
        <w:t xml:space="preserve">ий</w:t>
      </w:r>
      <w:r>
        <w:rPr>
          <w:sz w:val="28"/>
        </w:rPr>
        <w:t xml:space="preserve"> здійсню</w:t>
      </w:r>
      <w:r>
        <w:rPr>
          <w:sz w:val="28"/>
        </w:rPr>
        <w:t xml:space="preserve">є</w:t>
      </w:r>
      <w:r>
        <w:rPr>
          <w:sz w:val="28"/>
        </w:rPr>
        <w:t xml:space="preserve"> перевезення громадян</w:t>
      </w:r>
      <w:r>
        <w:rPr>
          <w:sz w:val="28"/>
        </w:rPr>
        <w:t xml:space="preserve"> на пільгових умовах</w:t>
      </w:r>
      <w:r>
        <w:rPr>
          <w:sz w:val="28"/>
        </w:rPr>
        <w:t xml:space="preserve">, щомісячних облікових форм про недоотримані кошти за перевезення залізничним транспортом окремих категорій громадян, які мають встановлені законодавством пільги, створених на основі відомостей продажу квитків.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Пільги надаються відповідним</w:t>
      </w:r>
      <w:r>
        <w:rPr>
          <w:sz w:val="28"/>
        </w:rPr>
        <w:t xml:space="preserve"> категоріям громадян </w:t>
      </w:r>
      <w:r>
        <w:rPr>
          <w:sz w:val="28"/>
          <w:szCs w:val="28"/>
        </w:rPr>
        <w:t xml:space="preserve">на підставі посвідчення, що підтверджує правовий (пільговий) статус  пасажира-пільговика. </w:t>
      </w:r>
      <w:r/>
    </w:p>
    <w:tbl>
      <w:tblPr>
        <w:tblpPr w:horzAnchor="margin" w:tblpXSpec="left" w:vertAnchor="text" w:tblpY="165" w:leftFromText="180" w:topFromText="0" w:rightFromText="180" w:bottomFromText="0"/>
        <w:tblW w:w="97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91"/>
        <w:gridCol w:w="5106"/>
      </w:tblGrid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категорії пільговика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пільгового посвідчення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highlight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 з інвалідністю внаслідок війни</w:t>
            </w:r>
            <w:r/>
          </w:p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highlight w:val="none"/>
                <w:lang w:val="uk-UA"/>
              </w:rPr>
            </w:r>
            <w:r>
              <w:rPr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«Інваліда війни»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highlight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бойових дій</w:t>
            </w:r>
            <w:r/>
          </w:p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highlight w:val="none"/>
                <w:lang w:val="uk-UA"/>
              </w:rPr>
            </w:r>
            <w:r>
              <w:rPr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«Учасника бойових дій»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 з інвалідністю,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діти з інвалідністю та особи, які супроводжують </w:t>
            </w:r>
            <w:r>
              <w:rPr>
                <w:sz w:val="28"/>
                <w:szCs w:val="28"/>
                <w:lang w:val="uk-UA"/>
              </w:rPr>
              <w:t xml:space="preserve">особу з інвалідністю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групи або дітей з інвалідністю </w:t>
            </w:r>
            <w:r>
              <w:rPr>
                <w:sz w:val="28"/>
                <w:szCs w:val="28"/>
                <w:lang w:val="uk-UA"/>
              </w:rPr>
              <w:t xml:space="preserve">(не більше одного супроводжуючого)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Посвідчення, що підтверджує призначення соціальної допомоги відповідно до Закону України </w:t>
            </w:r>
            <w:r>
              <w:rPr>
                <w:sz w:val="28"/>
                <w:szCs w:val="28"/>
                <w:lang w:val="uk-UA"/>
              </w:rPr>
              <w:t xml:space="preserve">«Про основи соціальної захищеності осіб з інвалідністю в Україні» або на підставі медичних документів, які підтверджують статус (висновку МСЕК або висновку ЛКК) та документу, який посвідчує особу (за відсутності бланків посвідчення), пенсійного посвідчення</w:t>
            </w:r>
            <w:r/>
          </w:p>
        </w:tc>
      </w:tr>
      <w:tr>
        <w:trPr>
          <w:trHeight w:val="425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Ветерани військової служби,  ветерани органів внутрішніх справ, ветерани На</w:t>
            </w:r>
            <w:r>
              <w:rPr>
                <w:sz w:val="28"/>
                <w:szCs w:val="28"/>
                <w:lang w:val="uk-UA"/>
              </w:rPr>
              <w:t xml:space="preserve">ціональної поліції, ветерани податкової міліції, ветерани державної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зв'язку та захисту інформації України</w:t>
            </w:r>
            <w:r/>
          </w:p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«Ветерана військової </w:t>
            </w:r>
            <w:r>
              <w:rPr>
                <w:sz w:val="28"/>
                <w:szCs w:val="28"/>
                <w:lang w:val="uk-UA"/>
              </w:rPr>
              <w:t xml:space="preserve">служби», «Ветерана органів внутрішніх справ», «Ветерана податкової міліції», «Ветерана війни», «Ветерана Державної кримінально-виконавчої служби», «Ветерана служби цивільного захисту», «Ветерана Державної служби  спеціального зв'язку та захисту інформації»</w:t>
            </w:r>
            <w:r/>
          </w:p>
        </w:tc>
      </w:tr>
      <w:tr>
        <w:trPr>
          <w:trHeight w:val="323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Громадяни, які постраждали внаслідок Чорнобильської катастрофи (категорія 1, 2 та 3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особи, яка постраждала внаслідок Чорнобильської катастрофи</w:t>
            </w:r>
            <w:r/>
          </w:p>
        </w:tc>
      </w:tr>
      <w:tr>
        <w:trPr>
          <w:trHeight w:val="720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багатодітних сімей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«Дитини з багатодітної сім’ї»</w:t>
            </w:r>
            <w:r/>
          </w:p>
        </w:tc>
      </w:tr>
      <w:tr>
        <w:trPr>
          <w:trHeight w:val="417"/>
        </w:trPr>
        <w:tc>
          <w:tcPr>
            <w:tcW w:w="675" w:type="dxa"/>
            <w:textDirection w:val="lrTb"/>
            <w:noWrap/>
          </w:tcPr>
          <w:p>
            <w:pPr>
              <w:pStyle w:val="10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3991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Пенсіонери за віком</w:t>
            </w:r>
            <w:r/>
          </w:p>
        </w:tc>
        <w:tc>
          <w:tcPr>
            <w:tcW w:w="5106" w:type="dxa"/>
            <w:textDirection w:val="lrTb"/>
            <w:noWrap/>
          </w:tcPr>
          <w:p>
            <w:pPr>
              <w:pStyle w:val="10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Пенсійне посвідчення</w:t>
            </w:r>
            <w:r/>
          </w:p>
        </w:tc>
      </w:tr>
    </w:tbl>
    <w:p>
      <w:pPr>
        <w:ind w:firstLine="708"/>
        <w:jc w:val="both"/>
        <w:rPr>
          <w:sz w:val="28"/>
        </w:rPr>
      </w:pPr>
      <w:r>
        <w:rPr>
          <w:sz w:val="28"/>
        </w:rPr>
        <w:t xml:space="preserve">Розрахунок суми </w:t>
      </w:r>
      <w:r>
        <w:rPr>
          <w:sz w:val="28"/>
        </w:rPr>
        <w:t xml:space="preserve">компенсаційних виплат за проїзд окремих категорій громадян залізничним транспортом здійснюється  відповідно до постанови Кабінету Міністрів України </w:t>
      </w:r>
      <w:r>
        <w:rPr>
          <w:sz w:val="28"/>
        </w:rPr>
        <w:t xml:space="preserve">від 16 грудня 2009 року </w:t>
      </w:r>
      <w:r>
        <w:rPr>
          <w:sz w:val="28"/>
        </w:rPr>
        <w:t xml:space="preserve">№ 1359 </w:t>
      </w:r>
      <w:r>
        <w:rPr>
          <w:sz w:val="28"/>
        </w:rPr>
        <w:t xml:space="preserve">«Про затвердження Порядку розрахунку обсягів компенсаційних виплат за пільгові перевезення залізничним транспортом окремих категорій громадян».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Для отримання компенсації втрат доходу від безоплатного перевезення окремих категорій пасажирів </w:t>
      </w:r>
      <w:bookmarkStart w:id="2" w:name="_Hlk57792846"/>
      <w:r>
        <w:rPr>
          <w:sz w:val="28"/>
          <w:szCs w:val="28"/>
          <w:lang w:eastAsia="uk-UA"/>
        </w:rPr>
        <w:t xml:space="preserve">перевізник, який надає послуги з перевезення залізничним транспортом</w:t>
      </w:r>
      <w:bookmarkEnd w:id="2"/>
      <w:r>
        <w:rPr>
          <w:sz w:val="28"/>
          <w:szCs w:val="28"/>
          <w:lang w:eastAsia="uk-UA"/>
        </w:rPr>
        <w:t xml:space="preserve"> </w:t>
      </w:r>
      <w:r>
        <w:rPr>
          <w:sz w:val="28"/>
        </w:rPr>
        <w:t xml:space="preserve">щомісяця надає звіт про втрати доходу від безоплатних перевезень окремих категорій пасажирів </w:t>
      </w:r>
      <w:r>
        <w:rPr>
          <w:sz w:val="28"/>
        </w:rPr>
        <w:t xml:space="preserve">згідно форми, затвердженої постановою КМУ від 16 гр</w:t>
      </w:r>
      <w:r>
        <w:rPr>
          <w:sz w:val="28"/>
        </w:rPr>
        <w:t xml:space="preserve">у</w:t>
      </w:r>
      <w:r>
        <w:rPr>
          <w:sz w:val="28"/>
        </w:rPr>
        <w:t xml:space="preserve">дня 2009 року </w:t>
      </w:r>
      <w:r>
        <w:rPr>
          <w:sz w:val="28"/>
        </w:rPr>
        <w:t xml:space="preserve">№ 1359</w:t>
      </w:r>
      <w:r>
        <w:rPr>
          <w:sz w:val="28"/>
        </w:rPr>
        <w:t xml:space="preserve">.</w:t>
      </w:r>
      <w:r/>
    </w:p>
    <w:p>
      <w:pPr>
        <w:pStyle w:val="1056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Відшкодування компенсаційних виплат за пільговий проїзд окремих категорій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регіональній філії «Південно - Західна залізниця» АТ «Українська залізниця» </w:t>
      </w:r>
      <w:r>
        <w:rPr>
          <w:rFonts w:ascii="Times New Roman" w:hAnsi="Times New Roman"/>
          <w:sz w:val="28"/>
          <w:lang w:val="uk-UA"/>
        </w:rPr>
        <w:t xml:space="preserve">здійснюється на підставі укладеного договору</w:t>
      </w:r>
      <w:r>
        <w:rPr>
          <w:rFonts w:ascii="Times New Roman" w:hAnsi="Times New Roman"/>
          <w:sz w:val="28"/>
          <w:lang w:val="uk-UA"/>
        </w:rPr>
        <w:t xml:space="preserve"> та поданими щомісячними розрахунками </w:t>
      </w:r>
      <w:r>
        <w:rPr>
          <w:rFonts w:ascii="Times New Roman" w:hAnsi="Times New Roman"/>
          <w:sz w:val="28"/>
          <w:lang w:val="uk-UA"/>
        </w:rPr>
        <w:t xml:space="preserve">у межах бюджетних призначень на відповідний рік</w:t>
      </w:r>
      <w:r>
        <w:rPr>
          <w:rFonts w:ascii="Times New Roman" w:hAnsi="Times New Roman"/>
          <w:sz w:val="28"/>
          <w:lang w:val="uk-UA"/>
        </w:rPr>
        <w:t xml:space="preserve"> та в разі відсутності фінансування з Державного бюджету</w:t>
      </w:r>
      <w:r>
        <w:rPr>
          <w:rFonts w:ascii="Times New Roman" w:hAnsi="Times New Roman"/>
          <w:sz w:val="28"/>
          <w:lang w:val="uk-UA"/>
        </w:rPr>
        <w:t xml:space="preserve">. </w:t>
      </w:r>
      <w:r/>
    </w:p>
    <w:p>
      <w:pPr>
        <w:pStyle w:val="1025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025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ind w:left="0" w:right="0" w:firstLine="0"/>
      </w:pPr>
      <w:r>
        <w:rPr>
          <w:sz w:val="28"/>
        </w:rPr>
        <w:t xml:space="preserve">Начальник відділу соціального</w:t>
      </w:r>
      <w:r>
        <w:rPr>
          <w:sz w:val="28"/>
        </w:rPr>
      </w:r>
      <w:r/>
    </w:p>
    <w:p>
      <w:pPr>
        <w:ind w:left="0" w:right="0" w:firstLine="0"/>
        <w:tabs>
          <w:tab w:val="left" w:pos="1061" w:leader="none"/>
        </w:tabs>
      </w:pPr>
      <w:r>
        <w:rPr>
          <w:sz w:val="28"/>
        </w:rPr>
        <w:t xml:space="preserve">захисту</w:t>
      </w:r>
      <w:r>
        <w:rPr>
          <w:sz w:val="28"/>
        </w:rPr>
        <w:tab/>
      </w:r>
      <w:r>
        <w:rPr>
          <w:sz w:val="28"/>
        </w:rPr>
        <w:t xml:space="preserve">населення, сім’ї, молоді</w:t>
      </w:r>
      <w:r>
        <w:rPr>
          <w:sz w:val="28"/>
        </w:rPr>
      </w:r>
      <w:r/>
    </w:p>
    <w:p>
      <w:pPr>
        <w:pStyle w:val="1025"/>
        <w:ind w:left="0" w:right="0" w:firstLine="0"/>
        <w:jc w:val="both"/>
      </w:pPr>
      <w:r>
        <w:rPr>
          <w:sz w:val="28"/>
        </w:rPr>
        <w:t xml:space="preserve">та охорони здоров’я                                                             Марина МОСКАЛЬЧУК </w:t>
      </w:r>
      <w:r>
        <w:rPr>
          <w:b/>
          <w:color w:val="000000"/>
          <w:sz w:val="28"/>
          <w:szCs w:val="28"/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1134" w:right="567" w:bottom="964" w:left="1701" w:header="709" w:footer="709" w:gutter="0"/>
      <w:pgNumType w:start="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liberationserif">
    <w:panose1 w:val="020704090202050204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1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5370" cy="174625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      продовження додатка</w:t>
    </w:r>
    <w:r>
      <w:rPr>
        <w:i/>
      </w:rPr>
    </w:r>
    <w:r/>
  </w:p>
  <w:p>
    <w:pPr>
      <w:pStyle w:val="10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rPr>
        <w:rStyle w:val="1050"/>
      </w:rPr>
      <w:framePr w:wrap="around" w:vAnchor="text" w:hAnchor="margin" w:xAlign="center" w:y="1"/>
    </w:pPr>
    <w:r>
      <w:rPr>
        <w:rStyle w:val="1050"/>
      </w:rPr>
      <w:fldChar w:fldCharType="begin"/>
    </w:r>
    <w:r>
      <w:rPr>
        <w:rStyle w:val="1050"/>
      </w:rPr>
      <w:instrText xml:space="preserve">PAGE  </w:instrText>
    </w:r>
    <w:r>
      <w:rPr>
        <w:rStyle w:val="1050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7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1"/>
  </w:num>
  <w:num w:numId="5">
    <w:abstractNumId w:val="13"/>
  </w:num>
  <w:num w:numId="6">
    <w:abstractNumId w:val="23"/>
  </w:num>
  <w:num w:numId="7">
    <w:abstractNumId w:val="3"/>
  </w:num>
  <w:num w:numId="8">
    <w:abstractNumId w:val="4"/>
  </w:num>
  <w:num w:numId="9">
    <w:abstractNumId w:val="18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0"/>
  </w:num>
  <w:num w:numId="14">
    <w:abstractNumId w:val="22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5"/>
  </w:num>
  <w:num w:numId="20">
    <w:abstractNumId w:val="17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7">
    <w:name w:val="Caption"/>
    <w:basedOn w:val="773"/>
    <w:next w:val="7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>
    <w:name w:val="Caption Char"/>
    <w:basedOn w:val="767"/>
    <w:link w:val="1051"/>
    <w:uiPriority w:val="99"/>
  </w:style>
  <w:style w:type="paragraph" w:styleId="769">
    <w:name w:val="endnote text"/>
    <w:basedOn w:val="773"/>
    <w:link w:val="770"/>
    <w:uiPriority w:val="99"/>
    <w:semiHidden/>
    <w:unhideWhenUsed/>
    <w:rPr>
      <w:sz w:val="20"/>
    </w:rPr>
    <w:pPr>
      <w:spacing w:lineRule="auto" w:line="240" w:after="0"/>
    </w:pPr>
  </w:style>
  <w:style w:type="character" w:styleId="770">
    <w:name w:val="Endnote Text Char"/>
    <w:link w:val="769"/>
    <w:uiPriority w:val="99"/>
    <w:rPr>
      <w:sz w:val="20"/>
    </w:rPr>
  </w:style>
  <w:style w:type="character" w:styleId="771">
    <w:name w:val="endnote reference"/>
    <w:basedOn w:val="774"/>
    <w:uiPriority w:val="99"/>
    <w:semiHidden/>
    <w:unhideWhenUsed/>
    <w:rPr>
      <w:vertAlign w:val="superscript"/>
    </w:rPr>
  </w:style>
  <w:style w:type="paragraph" w:styleId="772">
    <w:name w:val="table of figures"/>
    <w:basedOn w:val="773"/>
    <w:next w:val="773"/>
    <w:uiPriority w:val="99"/>
    <w:unhideWhenUsed/>
    <w:pPr>
      <w:spacing w:after="0" w:afterAutospacing="0"/>
    </w:pPr>
  </w:style>
  <w:style w:type="paragraph" w:styleId="773" w:default="1">
    <w:name w:val="Normal"/>
    <w:qFormat/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character" w:styleId="777" w:customStyle="1">
    <w:name w:val="Heading 1 Char"/>
    <w:basedOn w:val="774"/>
    <w:link w:val="807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74"/>
    <w:link w:val="808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basedOn w:val="774"/>
    <w:link w:val="809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Heading 4 Char"/>
    <w:basedOn w:val="774"/>
    <w:link w:val="810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Heading 5 Char"/>
    <w:basedOn w:val="774"/>
    <w:link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Heading 6 Char"/>
    <w:basedOn w:val="774"/>
    <w:link w:val="812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Heading 7 Char"/>
    <w:basedOn w:val="774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Heading 8 Char"/>
    <w:basedOn w:val="774"/>
    <w:link w:val="814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Heading 9 Char"/>
    <w:basedOn w:val="774"/>
    <w:link w:val="815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Header Char"/>
    <w:basedOn w:val="774"/>
    <w:link w:val="816"/>
    <w:uiPriority w:val="99"/>
  </w:style>
  <w:style w:type="character" w:styleId="787" w:customStyle="1">
    <w:name w:val="Footer Char"/>
    <w:basedOn w:val="774"/>
    <w:link w:val="817"/>
    <w:uiPriority w:val="99"/>
  </w:style>
  <w:style w:type="table" w:styleId="788" w:customStyle="1">
    <w:name w:val="Plain Table 1"/>
    <w:basedOn w:val="77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2"/>
    <w:basedOn w:val="77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3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Plain Table 4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Plain Table 5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3" w:customStyle="1">
    <w:name w:val="Grid Table 1 Light"/>
    <w:basedOn w:val="77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2"/>
    <w:basedOn w:val="77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"/>
    <w:basedOn w:val="77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basedOn w:val="77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5 Dark"/>
    <w:basedOn w:val="77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basedOn w:val="77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7 Colorful"/>
    <w:basedOn w:val="77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2"/>
    <w:basedOn w:val="77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3"/>
    <w:basedOn w:val="77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77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77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77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7 Colorful"/>
    <w:basedOn w:val="77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07" w:customStyle="1">
    <w:name w:val="Heading 1"/>
    <w:basedOn w:val="773"/>
    <w:next w:val="773"/>
    <w:link w:val="837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8" w:customStyle="1">
    <w:name w:val="Heading 2"/>
    <w:basedOn w:val="773"/>
    <w:next w:val="773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9" w:customStyle="1">
    <w:name w:val="Heading 3"/>
    <w:basedOn w:val="773"/>
    <w:next w:val="773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0" w:customStyle="1">
    <w:name w:val="Heading 4"/>
    <w:basedOn w:val="773"/>
    <w:next w:val="773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1" w:customStyle="1">
    <w:name w:val="Heading 5"/>
    <w:basedOn w:val="773"/>
    <w:next w:val="773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2" w:customStyle="1">
    <w:name w:val="Heading 6"/>
    <w:basedOn w:val="773"/>
    <w:next w:val="773"/>
    <w:link w:val="8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13" w:customStyle="1">
    <w:name w:val="Heading 7"/>
    <w:basedOn w:val="773"/>
    <w:next w:val="773"/>
    <w:link w:val="8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14" w:customStyle="1">
    <w:name w:val="Heading 8"/>
    <w:basedOn w:val="773"/>
    <w:next w:val="773"/>
    <w:link w:val="8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15" w:customStyle="1">
    <w:name w:val="Heading 9"/>
    <w:basedOn w:val="773"/>
    <w:next w:val="773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16" w:customStyle="1">
    <w:name w:val="Header"/>
    <w:basedOn w:val="773"/>
    <w:link w:val="85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7" w:customStyle="1">
    <w:name w:val="Footer"/>
    <w:basedOn w:val="773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18" w:customStyle="1">
    <w:name w:val="Таблица простая 11"/>
    <w:basedOn w:val="77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Таблица простая 21"/>
    <w:basedOn w:val="77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Таблица простая 31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Таблица простая 41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а простая 51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 w:customStyle="1">
    <w:name w:val="Таблица-сетка 1 светлая1"/>
    <w:basedOn w:val="77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а-сетка 21"/>
    <w:basedOn w:val="77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а-сетка 31"/>
    <w:basedOn w:val="77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а-сетка 41"/>
    <w:basedOn w:val="77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7" w:customStyle="1">
    <w:name w:val="Таблица-сетка 5 темная1"/>
    <w:basedOn w:val="77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Таблица-сетка 6 цветная1"/>
    <w:basedOn w:val="77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Таблица-сетка 7 цветная1"/>
    <w:basedOn w:val="77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Список-таблица 1 светлая1"/>
    <w:basedOn w:val="77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Список-таблица 21"/>
    <w:basedOn w:val="77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Список-таблица 31"/>
    <w:basedOn w:val="77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Список-таблица 41"/>
    <w:basedOn w:val="77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Список-таблица 5 темная1"/>
    <w:basedOn w:val="77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Список-таблица 6 цветная1"/>
    <w:basedOn w:val="77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Список-таблица 7 цветная1"/>
    <w:basedOn w:val="77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37" w:customStyle="1">
    <w:name w:val="Заголовок 1 Знак1"/>
    <w:basedOn w:val="774"/>
    <w:link w:val="807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1"/>
    <w:basedOn w:val="774"/>
    <w:link w:val="808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1"/>
    <w:basedOn w:val="774"/>
    <w:link w:val="809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1"/>
    <w:basedOn w:val="774"/>
    <w:link w:val="810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1"/>
    <w:basedOn w:val="774"/>
    <w:link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1"/>
    <w:basedOn w:val="774"/>
    <w:link w:val="812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1"/>
    <w:basedOn w:val="774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1"/>
    <w:basedOn w:val="774"/>
    <w:link w:val="814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1"/>
    <w:basedOn w:val="774"/>
    <w:link w:val="815"/>
    <w:uiPriority w:val="9"/>
    <w:rPr>
      <w:rFonts w:ascii="Arial" w:hAnsi="Arial" w:cs="Arial" w:eastAsia="Arial"/>
      <w:i/>
      <w:iCs/>
      <w:sz w:val="21"/>
      <w:szCs w:val="21"/>
    </w:rPr>
  </w:style>
  <w:style w:type="character" w:styleId="846" w:customStyle="1">
    <w:name w:val="Title Char"/>
    <w:basedOn w:val="774"/>
    <w:uiPriority w:val="10"/>
    <w:rPr>
      <w:sz w:val="48"/>
      <w:szCs w:val="48"/>
    </w:rPr>
  </w:style>
  <w:style w:type="character" w:styleId="847" w:customStyle="1">
    <w:name w:val="Subtitle Char"/>
    <w:basedOn w:val="774"/>
    <w:uiPriority w:val="11"/>
    <w:rPr>
      <w:sz w:val="24"/>
      <w:szCs w:val="24"/>
    </w:rPr>
  </w:style>
  <w:style w:type="character" w:styleId="848" w:customStyle="1">
    <w:name w:val="Quote Char"/>
    <w:uiPriority w:val="29"/>
    <w:rPr>
      <w:i/>
    </w:rPr>
  </w:style>
  <w:style w:type="character" w:styleId="849" w:customStyle="1">
    <w:name w:val="Intense Quote Char"/>
    <w:uiPriority w:val="30"/>
    <w:rPr>
      <w:i/>
    </w:rPr>
  </w:style>
  <w:style w:type="character" w:styleId="850" w:customStyle="1">
    <w:name w:val="Верхний колонтитул Знак"/>
    <w:basedOn w:val="774"/>
    <w:link w:val="816"/>
    <w:uiPriority w:val="99"/>
  </w:style>
  <w:style w:type="character" w:styleId="851" w:customStyle="1">
    <w:name w:val="Нижний колонтитул Знак"/>
    <w:basedOn w:val="774"/>
    <w:link w:val="817"/>
    <w:uiPriority w:val="99"/>
  </w:style>
  <w:style w:type="character" w:styleId="852" w:customStyle="1">
    <w:name w:val="Footnote Text Char"/>
    <w:uiPriority w:val="99"/>
    <w:rPr>
      <w:sz w:val="18"/>
    </w:rPr>
  </w:style>
  <w:style w:type="paragraph" w:styleId="853" w:customStyle="1">
    <w:name w:val="Заголовок 11"/>
    <w:basedOn w:val="1025"/>
    <w:next w:val="1025"/>
    <w:link w:val="862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54" w:customStyle="1">
    <w:name w:val="Заголовок 21"/>
    <w:basedOn w:val="1025"/>
    <w:next w:val="1025"/>
    <w:link w:val="863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55" w:customStyle="1">
    <w:name w:val="Заголовок 31"/>
    <w:link w:val="8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6" w:customStyle="1">
    <w:name w:val="Заголовок 41"/>
    <w:link w:val="8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7" w:customStyle="1">
    <w:name w:val="Заголовок 51"/>
    <w:link w:val="8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8" w:customStyle="1">
    <w:name w:val="Заголовок 61"/>
    <w:link w:val="86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59" w:customStyle="1">
    <w:name w:val="Заголовок 71"/>
    <w:link w:val="8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60" w:customStyle="1">
    <w:name w:val="Заголовок 81"/>
    <w:link w:val="86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61" w:customStyle="1">
    <w:name w:val="Заголовок 91"/>
    <w:link w:val="8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Заголовок 1 Знак"/>
    <w:link w:val="853"/>
    <w:uiPriority w:val="9"/>
    <w:rPr>
      <w:rFonts w:ascii="Arial" w:hAnsi="Arial" w:cs="Arial" w:eastAsia="Arial"/>
      <w:sz w:val="40"/>
      <w:szCs w:val="40"/>
    </w:rPr>
  </w:style>
  <w:style w:type="character" w:styleId="863" w:customStyle="1">
    <w:name w:val="Заголовок 2 Знак"/>
    <w:link w:val="854"/>
    <w:uiPriority w:val="9"/>
    <w:rPr>
      <w:rFonts w:ascii="Arial" w:hAnsi="Arial" w:cs="Arial" w:eastAsia="Arial"/>
      <w:sz w:val="34"/>
    </w:rPr>
  </w:style>
  <w:style w:type="character" w:styleId="864" w:customStyle="1">
    <w:name w:val="Заголовок 3 Знак"/>
    <w:link w:val="855"/>
    <w:uiPriority w:val="9"/>
    <w:rPr>
      <w:rFonts w:ascii="Arial" w:hAnsi="Arial" w:cs="Arial" w:eastAsia="Arial"/>
      <w:sz w:val="30"/>
      <w:szCs w:val="30"/>
    </w:rPr>
  </w:style>
  <w:style w:type="character" w:styleId="865" w:customStyle="1">
    <w:name w:val="Заголовок 4 Знак"/>
    <w:link w:val="856"/>
    <w:uiPriority w:val="9"/>
    <w:rPr>
      <w:rFonts w:ascii="Arial" w:hAnsi="Arial" w:cs="Arial" w:eastAsia="Arial"/>
      <w:b/>
      <w:bCs/>
      <w:sz w:val="26"/>
      <w:szCs w:val="26"/>
    </w:rPr>
  </w:style>
  <w:style w:type="character" w:styleId="866" w:customStyle="1">
    <w:name w:val="Заголовок 5 Знак"/>
    <w:link w:val="857"/>
    <w:uiPriority w:val="9"/>
    <w:rPr>
      <w:rFonts w:ascii="Arial" w:hAnsi="Arial" w:cs="Arial" w:eastAsia="Arial"/>
      <w:b/>
      <w:bCs/>
      <w:sz w:val="24"/>
      <w:szCs w:val="24"/>
    </w:rPr>
  </w:style>
  <w:style w:type="character" w:styleId="867" w:customStyle="1">
    <w:name w:val="Заголовок 6 Знак"/>
    <w:link w:val="858"/>
    <w:uiPriority w:val="9"/>
    <w:rPr>
      <w:rFonts w:ascii="Arial" w:hAnsi="Arial" w:cs="Arial" w:eastAsia="Arial"/>
      <w:b/>
      <w:bCs/>
      <w:sz w:val="22"/>
      <w:szCs w:val="22"/>
    </w:rPr>
  </w:style>
  <w:style w:type="character" w:styleId="868" w:customStyle="1">
    <w:name w:val="Заголовок 7 Знак"/>
    <w:link w:val="8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9" w:customStyle="1">
    <w:name w:val="Заголовок 8 Знак"/>
    <w:link w:val="860"/>
    <w:uiPriority w:val="9"/>
    <w:rPr>
      <w:rFonts w:ascii="Arial" w:hAnsi="Arial" w:cs="Arial" w:eastAsia="Arial"/>
      <w:i/>
      <w:iCs/>
      <w:sz w:val="22"/>
      <w:szCs w:val="22"/>
    </w:rPr>
  </w:style>
  <w:style w:type="character" w:styleId="870" w:customStyle="1">
    <w:name w:val="Заголовок 9 Знак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71">
    <w:name w:val="List Paragraph"/>
    <w:qFormat/>
    <w:uiPriority w:val="1"/>
    <w:pPr>
      <w:contextualSpacing w:val="true"/>
      <w:ind w:left="720"/>
    </w:pPr>
  </w:style>
  <w:style w:type="paragraph" w:styleId="872">
    <w:name w:val="No Spacing"/>
    <w:qFormat/>
    <w:uiPriority w:val="1"/>
  </w:style>
  <w:style w:type="paragraph" w:styleId="873">
    <w:name w:val="Title"/>
    <w:link w:val="8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4" w:customStyle="1">
    <w:name w:val="Название Знак"/>
    <w:link w:val="873"/>
    <w:uiPriority w:val="10"/>
    <w:rPr>
      <w:sz w:val="48"/>
      <w:szCs w:val="48"/>
    </w:rPr>
  </w:style>
  <w:style w:type="paragraph" w:styleId="875">
    <w:name w:val="Subtitle"/>
    <w:link w:val="876"/>
    <w:qFormat/>
    <w:uiPriority w:val="11"/>
    <w:rPr>
      <w:sz w:val="24"/>
      <w:szCs w:val="24"/>
    </w:rPr>
    <w:pPr>
      <w:spacing w:after="200" w:before="200"/>
    </w:pPr>
  </w:style>
  <w:style w:type="character" w:styleId="876" w:customStyle="1">
    <w:name w:val="Подзаголовок Знак"/>
    <w:link w:val="875"/>
    <w:uiPriority w:val="11"/>
    <w:rPr>
      <w:sz w:val="24"/>
      <w:szCs w:val="24"/>
    </w:rPr>
  </w:style>
  <w:style w:type="paragraph" w:styleId="877">
    <w:name w:val="Quote"/>
    <w:link w:val="878"/>
    <w:qFormat/>
    <w:uiPriority w:val="29"/>
    <w:rPr>
      <w:i/>
    </w:rPr>
    <w:pPr>
      <w:ind w:left="720" w:right="720"/>
    </w:pPr>
  </w:style>
  <w:style w:type="character" w:styleId="878" w:customStyle="1">
    <w:name w:val="Цитата 2 Знак"/>
    <w:link w:val="877"/>
    <w:uiPriority w:val="29"/>
    <w:rPr>
      <w:i/>
    </w:rPr>
  </w:style>
  <w:style w:type="paragraph" w:styleId="879">
    <w:name w:val="Intense Quote"/>
    <w:link w:val="8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0" w:customStyle="1">
    <w:name w:val="Выделенная цитата Знак"/>
    <w:link w:val="879"/>
    <w:uiPriority w:val="30"/>
    <w:rPr>
      <w:i/>
    </w:rPr>
  </w:style>
  <w:style w:type="paragraph" w:styleId="881" w:customStyle="1">
    <w:name w:val="Верхний колонтитул1"/>
    <w:link w:val="882"/>
    <w:unhideWhenUsed/>
    <w:pPr>
      <w:tabs>
        <w:tab w:val="center" w:pos="7143" w:leader="none"/>
        <w:tab w:val="right" w:pos="14287" w:leader="none"/>
      </w:tabs>
    </w:pPr>
  </w:style>
  <w:style w:type="character" w:styleId="882" w:customStyle="1">
    <w:name w:val="Верхній колонтитул Знак1"/>
    <w:link w:val="881"/>
  </w:style>
  <w:style w:type="paragraph" w:styleId="883" w:customStyle="1">
    <w:name w:val="Нижний колонтитул1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Нижній колонтитул Знак"/>
    <w:link w:val="883"/>
    <w:uiPriority w:val="99"/>
  </w:style>
  <w:style w:type="table" w:styleId="88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8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9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0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2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20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2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2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2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2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2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27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4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5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5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5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5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5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5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8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8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8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83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1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2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93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94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95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6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97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8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9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0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1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2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3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1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11">
    <w:name w:val="Hyperlink"/>
    <w:uiPriority w:val="99"/>
    <w:unhideWhenUsed/>
    <w:rPr>
      <w:color w:val="0000FF" w:themeColor="hyperlink"/>
      <w:u w:val="single"/>
    </w:rPr>
  </w:style>
  <w:style w:type="paragraph" w:styleId="1012">
    <w:name w:val="footnote text"/>
    <w:link w:val="1013"/>
    <w:uiPriority w:val="99"/>
    <w:semiHidden/>
    <w:unhideWhenUsed/>
    <w:rPr>
      <w:sz w:val="18"/>
    </w:rPr>
    <w:pPr>
      <w:spacing w:after="40"/>
    </w:pPr>
  </w:style>
  <w:style w:type="character" w:styleId="1013" w:customStyle="1">
    <w:name w:val="Текст сноски Знак"/>
    <w:link w:val="1012"/>
    <w:uiPriority w:val="99"/>
    <w:rPr>
      <w:sz w:val="18"/>
    </w:rPr>
  </w:style>
  <w:style w:type="character" w:styleId="1014">
    <w:name w:val="footnote reference"/>
    <w:uiPriority w:val="99"/>
    <w:unhideWhenUsed/>
    <w:rPr>
      <w:vertAlign w:val="superscript"/>
    </w:rPr>
  </w:style>
  <w:style w:type="paragraph" w:styleId="1015">
    <w:name w:val="toc 1"/>
    <w:uiPriority w:val="39"/>
    <w:unhideWhenUsed/>
    <w:pPr>
      <w:spacing w:after="57"/>
    </w:pPr>
  </w:style>
  <w:style w:type="paragraph" w:styleId="1016">
    <w:name w:val="toc 2"/>
    <w:uiPriority w:val="39"/>
    <w:unhideWhenUsed/>
    <w:pPr>
      <w:ind w:left="283"/>
      <w:spacing w:after="57"/>
    </w:pPr>
  </w:style>
  <w:style w:type="paragraph" w:styleId="1017">
    <w:name w:val="toc 3"/>
    <w:uiPriority w:val="39"/>
    <w:unhideWhenUsed/>
    <w:pPr>
      <w:ind w:left="567"/>
      <w:spacing w:after="57"/>
    </w:pPr>
  </w:style>
  <w:style w:type="paragraph" w:styleId="1018">
    <w:name w:val="toc 4"/>
    <w:uiPriority w:val="39"/>
    <w:unhideWhenUsed/>
    <w:pPr>
      <w:ind w:left="850"/>
      <w:spacing w:after="57"/>
    </w:pPr>
  </w:style>
  <w:style w:type="paragraph" w:styleId="1019">
    <w:name w:val="toc 5"/>
    <w:uiPriority w:val="39"/>
    <w:unhideWhenUsed/>
    <w:pPr>
      <w:ind w:left="1134"/>
      <w:spacing w:after="57"/>
    </w:pPr>
  </w:style>
  <w:style w:type="paragraph" w:styleId="1020">
    <w:name w:val="toc 6"/>
    <w:uiPriority w:val="39"/>
    <w:unhideWhenUsed/>
    <w:pPr>
      <w:ind w:left="1417"/>
      <w:spacing w:after="57"/>
    </w:pPr>
  </w:style>
  <w:style w:type="paragraph" w:styleId="1021">
    <w:name w:val="toc 7"/>
    <w:uiPriority w:val="39"/>
    <w:unhideWhenUsed/>
    <w:pPr>
      <w:ind w:left="1701"/>
      <w:spacing w:after="57"/>
    </w:pPr>
  </w:style>
  <w:style w:type="paragraph" w:styleId="1022">
    <w:name w:val="toc 8"/>
    <w:uiPriority w:val="39"/>
    <w:unhideWhenUsed/>
    <w:pPr>
      <w:ind w:left="1984"/>
      <w:spacing w:after="57"/>
    </w:pPr>
  </w:style>
  <w:style w:type="paragraph" w:styleId="1023">
    <w:name w:val="toc 9"/>
    <w:uiPriority w:val="39"/>
    <w:unhideWhenUsed/>
    <w:pPr>
      <w:ind w:left="2268"/>
      <w:spacing w:after="57"/>
    </w:pPr>
  </w:style>
  <w:style w:type="paragraph" w:styleId="1024">
    <w:name w:val="TOC Heading"/>
    <w:uiPriority w:val="39"/>
    <w:unhideWhenUsed/>
  </w:style>
  <w:style w:type="paragraph" w:styleId="1025" w:customStyle="1">
    <w:name w:val="Звичайний1"/>
    <w:rPr>
      <w:sz w:val="24"/>
      <w:szCs w:val="24"/>
      <w:lang w:val="ru-RU" w:bidi="ar-SA" w:eastAsia="ru-RU"/>
    </w:rPr>
  </w:style>
  <w:style w:type="character" w:styleId="1026" w:customStyle="1">
    <w:name w:val="Шрифт абзацу за замовчуванням1"/>
    <w:semiHidden/>
  </w:style>
  <w:style w:type="table" w:styleId="1027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28" w:customStyle="1">
    <w:name w:val="Немає списку1"/>
    <w:semiHidden/>
  </w:style>
  <w:style w:type="paragraph" w:styleId="1029" w:customStyle="1">
    <w:name w:val="Назва об'єкта1"/>
    <w:basedOn w:val="1025"/>
    <w:next w:val="1025"/>
    <w:rPr>
      <w:b/>
      <w:sz w:val="28"/>
      <w:szCs w:val="20"/>
      <w:lang w:val="uk-UA"/>
    </w:rPr>
    <w:pPr>
      <w:jc w:val="center"/>
    </w:pPr>
  </w:style>
  <w:style w:type="paragraph" w:styleId="1030" w:customStyle="1">
    <w:name w:val="Текст у виносці1"/>
    <w:basedOn w:val="1025"/>
    <w:semiHidden/>
    <w:rPr>
      <w:rFonts w:ascii="Tahoma" w:hAnsi="Tahoma"/>
      <w:sz w:val="16"/>
      <w:szCs w:val="16"/>
    </w:rPr>
  </w:style>
  <w:style w:type="paragraph" w:styleId="1031" w:customStyle="1">
    <w:name w:val="Знак Знак Знак Знак"/>
    <w:basedOn w:val="1025"/>
    <w:rPr>
      <w:rFonts w:ascii="Verdana" w:hAnsi="Verdana"/>
      <w:sz w:val="20"/>
      <w:szCs w:val="20"/>
      <w:lang w:val="en-US" w:eastAsia="en-US"/>
    </w:rPr>
  </w:style>
  <w:style w:type="character" w:styleId="1032" w:customStyle="1">
    <w:name w:val="Гіперпосилання1"/>
    <w:rPr>
      <w:color w:val="0000FF"/>
      <w:u w:val="single"/>
    </w:rPr>
  </w:style>
  <w:style w:type="paragraph" w:styleId="1033" w:customStyle="1">
    <w:name w:val="Знак1"/>
    <w:basedOn w:val="1025"/>
    <w:rPr>
      <w:rFonts w:ascii="Verdana" w:hAnsi="Verdana"/>
      <w:sz w:val="20"/>
      <w:szCs w:val="20"/>
      <w:lang w:val="uk-UA" w:eastAsia="en-US"/>
    </w:rPr>
  </w:style>
  <w:style w:type="character" w:styleId="1034">
    <w:name w:val="Strong"/>
    <w:qFormat/>
    <w:uiPriority w:val="22"/>
    <w:rPr>
      <w:b/>
      <w:bCs/>
    </w:rPr>
  </w:style>
  <w:style w:type="paragraph" w:styleId="1035" w:customStyle="1">
    <w:name w:val="Звичайний (веб)1"/>
    <w:basedOn w:val="1025"/>
    <w:pPr>
      <w:spacing w:after="100" w:afterAutospacing="1" w:before="100" w:beforeAutospacing="1"/>
    </w:pPr>
  </w:style>
  <w:style w:type="character" w:styleId="1036" w:customStyle="1">
    <w:name w:val="apple-converted-space"/>
    <w:basedOn w:val="1026"/>
  </w:style>
  <w:style w:type="paragraph" w:styleId="1037" w:customStyle="1">
    <w:name w:val="Верхній колонтитул1"/>
    <w:basedOn w:val="1025"/>
    <w:link w:val="1038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38" w:customStyle="1">
    <w:name w:val="Верхній колонтитул Знак"/>
    <w:link w:val="1037"/>
    <w:semiHidden/>
    <w:rPr>
      <w:lang w:val="uk-UA" w:bidi="ar-SA" w:eastAsia="ru-RU"/>
    </w:rPr>
  </w:style>
  <w:style w:type="paragraph" w:styleId="1039" w:customStyle="1">
    <w:name w:val="Стандартний HTML1"/>
    <w:basedOn w:val="1025"/>
    <w:link w:val="1040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0" w:customStyle="1">
    <w:name w:val="Стандартний HTML Знак"/>
    <w:link w:val="1039"/>
    <w:rPr>
      <w:rFonts w:ascii="Courier New" w:hAnsi="Courier New"/>
      <w:lang w:val="ru-RU" w:bidi="ar-SA" w:eastAsia="ru-RU"/>
    </w:rPr>
  </w:style>
  <w:style w:type="character" w:styleId="1041" w:customStyle="1">
    <w:name w:val="rvts23"/>
    <w:basedOn w:val="1026"/>
  </w:style>
  <w:style w:type="paragraph" w:styleId="1042" w:customStyle="1">
    <w:name w:val="Звичайний1"/>
    <w:rPr>
      <w:sz w:val="24"/>
      <w:szCs w:val="24"/>
      <w:lang w:bidi="ar-SA" w:eastAsia="ru-RU"/>
    </w:rPr>
  </w:style>
  <w:style w:type="paragraph" w:styleId="1043" w:customStyle="1">
    <w:name w:val="Основний текст з відступом1"/>
    <w:basedOn w:val="1025"/>
    <w:link w:val="1044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44" w:customStyle="1">
    <w:name w:val="Основний текст з відступом Знак"/>
    <w:link w:val="1043"/>
    <w:rPr>
      <w:sz w:val="28"/>
      <w:lang w:bidi="en-US" w:eastAsia="en-US"/>
    </w:rPr>
  </w:style>
  <w:style w:type="paragraph" w:styleId="1045">
    <w:name w:val="Balloon Text"/>
    <w:basedOn w:val="773"/>
    <w:link w:val="1046"/>
    <w:uiPriority w:val="99"/>
    <w:semiHidden/>
    <w:unhideWhenUsed/>
    <w:rPr>
      <w:rFonts w:ascii="Tahoma" w:hAnsi="Tahoma" w:cs="Tahoma"/>
      <w:sz w:val="16"/>
      <w:szCs w:val="16"/>
    </w:rPr>
  </w:style>
  <w:style w:type="character" w:styleId="1046" w:customStyle="1">
    <w:name w:val="Текст выноски Знак"/>
    <w:basedOn w:val="774"/>
    <w:link w:val="1045"/>
    <w:uiPriority w:val="99"/>
    <w:semiHidden/>
    <w:rPr>
      <w:rFonts w:ascii="Tahoma" w:hAnsi="Tahoma" w:cs="Tahoma"/>
      <w:sz w:val="16"/>
      <w:szCs w:val="16"/>
    </w:rPr>
  </w:style>
  <w:style w:type="character" w:styleId="1047" w:customStyle="1">
    <w:name w:val="fontstyle01"/>
    <w:basedOn w:val="774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48" w:customStyle="1">
    <w:name w:val="fontstyle21"/>
    <w:basedOn w:val="774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49" w:customStyle="1">
    <w:name w:val="fontstyle31"/>
    <w:basedOn w:val="774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50">
    <w:name w:val="page number"/>
    <w:basedOn w:val="774"/>
  </w:style>
  <w:style w:type="paragraph" w:styleId="1051">
    <w:name w:val="Footer"/>
    <w:basedOn w:val="773"/>
    <w:link w:val="1052"/>
    <w:rPr>
      <w:sz w:val="24"/>
      <w:szCs w:val="24"/>
      <w:lang w:bidi="ar-SA" w:eastAsia="ar-SA"/>
    </w:rPr>
    <w:pPr>
      <w:shd w:val="clear" w:fill="auto" w:color="auto"/>
      <w:tabs>
        <w:tab w:val="center" w:pos="4677" w:leader="none"/>
        <w:tab w:val="right" w:pos="9355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52" w:customStyle="1">
    <w:name w:val="Нижний колонтитул Знак1"/>
    <w:basedOn w:val="774"/>
    <w:link w:val="1051"/>
    <w:rPr>
      <w:sz w:val="24"/>
      <w:szCs w:val="24"/>
      <w:lang w:bidi="ar-SA" w:eastAsia="ar-SA"/>
    </w:rPr>
  </w:style>
  <w:style w:type="paragraph" w:styleId="1053">
    <w:name w:val="Header"/>
    <w:basedOn w:val="773"/>
    <w:link w:val="1054"/>
    <w:rPr>
      <w:sz w:val="24"/>
      <w:szCs w:val="24"/>
      <w:lang w:bidi="ar-SA" w:eastAsia="ar-SA"/>
    </w:rPr>
    <w:pPr>
      <w:shd w:val="clear" w:fill="auto" w:color="auto"/>
      <w:tabs>
        <w:tab w:val="center" w:pos="4677" w:leader="none"/>
        <w:tab w:val="right" w:pos="9355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54" w:customStyle="1">
    <w:name w:val="Верхний колонтитул Знак1"/>
    <w:basedOn w:val="774"/>
    <w:link w:val="1053"/>
    <w:rPr>
      <w:sz w:val="24"/>
      <w:szCs w:val="24"/>
      <w:lang w:bidi="ar-SA" w:eastAsia="ar-SA"/>
    </w:rPr>
  </w:style>
  <w:style w:type="paragraph" w:styleId="1055" w:customStyle="1">
    <w:name w:val="Звичайний"/>
    <w:link w:val="1056"/>
    <w:rPr>
      <w:sz w:val="24"/>
      <w:szCs w:val="24"/>
      <w:lang w:val="ru-RU" w:bidi="ar-SA" w:eastAsia="ru-RU"/>
    </w:rPr>
  </w:style>
  <w:style w:type="paragraph" w:styleId="1056" w:customStyle="1">
    <w:name w:val="WW-Normal"/>
    <w:link w:val="1055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57">
    <w:name w:val="Normal (Web)"/>
    <w:basedOn w:val="773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40</cp:revision>
  <dcterms:created xsi:type="dcterms:W3CDTF">2021-03-15T17:02:00Z</dcterms:created>
  <dcterms:modified xsi:type="dcterms:W3CDTF">2021-11-26T13:28:52Z</dcterms:modified>
</cp:coreProperties>
</file>