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0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1 </w:t>
      </w:r>
      <w:r/>
    </w:p>
    <w:p>
      <w:pPr>
        <w:pStyle w:val="100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рішення виконавчого комітету Менської міської ради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 </w:t>
      </w:r>
      <w:r/>
    </w:p>
    <w:p>
      <w:pPr>
        <w:pStyle w:val="1002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23 листопада 2021 року № 348</w:t>
      </w:r>
      <w:r/>
    </w:p>
    <w:p>
      <w:pPr>
        <w:pStyle w:val="1002"/>
        <w:ind w:right="5102"/>
        <w:jc w:val="both"/>
        <w:keepNext/>
        <w:spacing w:lineRule="auto" w:line="240" w:after="0"/>
        <w:tabs>
          <w:tab w:val="left" w:pos="4962" w:leader="none"/>
        </w:tabs>
        <w:rPr>
          <w:bCs/>
          <w:sz w:val="28"/>
          <w:szCs w:val="28"/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/>
    </w:p>
    <w:p>
      <w:pPr>
        <w:pStyle w:val="1002"/>
        <w:ind w:right="5102"/>
        <w:jc w:val="both"/>
        <w:keepNext/>
        <w:spacing w:lineRule="auto" w:line="240" w:after="0"/>
        <w:tabs>
          <w:tab w:val="left" w:pos="4962" w:leader="none"/>
        </w:tabs>
        <w:rPr>
          <w:bCs/>
          <w:sz w:val="28"/>
          <w:szCs w:val="28"/>
          <w:lang w:val="uk-UA"/>
        </w:rPr>
        <w:outlineLvl w:val="1"/>
      </w:pPr>
      <w:r>
        <w:rPr>
          <w:bCs/>
          <w:sz w:val="28"/>
          <w:szCs w:val="28"/>
          <w:lang w:val="uk-UA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pStyle w:val="1002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 w:eastAsia="ru-RU"/>
        </w:rPr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ПРОЄКТ ПРОГРАМИ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ФІНАНСОВОЇ </w:t>
      </w:r>
      <w:r>
        <w:rPr>
          <w:rFonts w:ascii="Times New Roman" w:hAnsi="Times New Roman"/>
          <w:b/>
          <w:iCs/>
          <w:sz w:val="32"/>
          <w:szCs w:val="32"/>
        </w:rPr>
        <w:t xml:space="preserve">ПІДТРИМКИ ГРОМАДСЬКИХ 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ОБ’ЄДНАНЬ</w:t>
      </w:r>
      <w:r>
        <w:rPr>
          <w:rFonts w:ascii="Times New Roman" w:hAnsi="Times New Roman"/>
          <w:b/>
          <w:iCs/>
          <w:sz w:val="32"/>
          <w:szCs w:val="32"/>
        </w:rPr>
        <w:t xml:space="preserve"> ВЕТЕРАНІВ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МЕНСЬКОЇ МІСЬКОЇ ТЕРИТОРІАЛЬНОЇ ГРОМАДИ</w:t>
      </w:r>
      <w:r/>
    </w:p>
    <w:p>
      <w:pPr>
        <w:ind w:left="62"/>
        <w:jc w:val="center"/>
        <w:rPr>
          <w:rFonts w:ascii="Times New Roman" w:hAnsi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НА 202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2</w:t>
      </w:r>
      <w:r>
        <w:rPr>
          <w:rFonts w:ascii="Times New Roman" w:hAnsi="Times New Roman"/>
          <w:b/>
          <w:iCs/>
          <w:sz w:val="32"/>
          <w:szCs w:val="32"/>
          <w:lang w:val="uk-UA"/>
        </w:rPr>
        <w:t xml:space="preserve">- 2024 РІК</w:t>
      </w:r>
      <w:r/>
    </w:p>
    <w:p>
      <w:pPr>
        <w:ind w:left="65"/>
        <w:jc w:val="center"/>
        <w:rPr>
          <w:lang w:val="uk-UA"/>
        </w:rPr>
      </w:pPr>
      <w:r>
        <w:rPr>
          <w:lang w:val="uk-UA"/>
        </w:rPr>
      </w:r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65"/>
        <w:jc w:val="center"/>
      </w:pPr>
      <w:r/>
      <w:r/>
    </w:p>
    <w:p>
      <w:pPr>
        <w:ind w:left="720" w:right="7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Мена</w:t>
      </w:r>
      <w:r/>
    </w:p>
    <w:p>
      <w:pPr>
        <w:ind w:left="720" w:right="71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</w:t>
      </w:r>
      <w:r>
        <w:rPr>
          <w:rFonts w:ascii="Times New Roman" w:hAnsi="Times New Roman"/>
          <w:lang w:val="uk-UA"/>
        </w:rPr>
        <w:t xml:space="preserve">1</w:t>
      </w:r>
      <w:r>
        <w:rPr>
          <w:rFonts w:ascii="Times New Roman" w:hAnsi="Times New Roman"/>
        </w:rPr>
        <w:t xml:space="preserve"> рік</w:t>
      </w:r>
      <w:r/>
    </w:p>
    <w:p>
      <w:r>
        <w:br w:type="page"/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ПАСПОРТ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sz w:val="28"/>
          <w:szCs w:val="28"/>
        </w:rPr>
        <w:t xml:space="preserve">ПІДТРИМКИ ГРОМАДСЬКИХ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ОБ’ЄДНАНЬ </w:t>
      </w:r>
      <w:r>
        <w:rPr>
          <w:rFonts w:ascii="Times New Roman" w:hAnsi="Times New Roman"/>
          <w:b/>
          <w:sz w:val="28"/>
          <w:szCs w:val="28"/>
        </w:rPr>
        <w:t xml:space="preserve">ВЕТЕРАНІВ НА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/>
    </w:p>
    <w:tbl>
      <w:tblPr>
        <w:tblStyle w:val="1033"/>
        <w:tblW w:w="9675" w:type="dxa"/>
        <w:tblInd w:w="-31" w:type="dxa"/>
        <w:tblLayout w:type="fixed"/>
        <w:tblCellMar>
          <w:left w:w="110" w:type="dxa"/>
          <w:top w:w="11" w:type="dxa"/>
          <w:right w:w="41" w:type="dxa"/>
        </w:tblCellMar>
        <w:tblLook w:val="04A0" w:firstRow="1" w:lastRow="0" w:firstColumn="1" w:lastColumn="0" w:noHBand="0" w:noVBand="1"/>
      </w:tblPr>
      <w:tblGrid>
        <w:gridCol w:w="626"/>
        <w:gridCol w:w="3307"/>
        <w:gridCol w:w="5742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/>
          </w:p>
        </w:tc>
      </w:tr>
      <w:tr>
        <w:trPr>
          <w:trHeight w:val="3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Дата, номер і назва документу, на підставі яких розроблена Програма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2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Закони України «Про статус ветеранів війни,  гарантії їх соціального захисту», «Про соціальний захист дітей війни», «Про жертви нацистських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ереслідувань»,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Указ Президента України «Про основні засади соціального захисту 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теранів праці та інших громадян похилого віку в Україні» від 16.12.1993 № 3721-ХІІ, розпорядження Кабінету Міністрів України «Про заходи з увічнення пам’яті захисників України на період до 2025 року»  від 20.01.2021 № 37-р, Бюджетний кодекс України та інші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3.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соціального захисту населення, сім’ї, молоді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охорони здоров’я Менської міської ради</w:t>
            </w:r>
            <w:r/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4.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Співрозробники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shd w:val="clear" w:color="FFFFFF" w:fill="FFFFFF"/>
                <w:lang w:val="uk-UA" w:bidi="ar-S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shd w:val="clear" w:color="FFFFFF" w:fill="FFFFFF"/>
                <w:lang w:val="uk-UA" w:bidi="ar-SA" w:eastAsia="ru-RU"/>
              </w:rPr>
              <w:t xml:space="preserve">Фінансове управління, Відділ  бухгалтерського обліку та звітності Менської міської ради, громадські об’єднання ветеранів </w:t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5.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Відповідальний виконавець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/>
          </w:p>
        </w:tc>
      </w:tr>
      <w:tr>
        <w:trPr>
          <w:trHeight w:val="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Учасники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Менська міська рада, </w:t>
            </w:r>
            <w:r/>
          </w:p>
          <w:p>
            <w:pPr>
              <w:ind w:right="419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громадські об’єднання ветеранів </w:t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2 - 2024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рр.</w:t>
            </w:r>
            <w:r/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8.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Загальний орієнтований обсяг ресурсів, необхідних для реалізації Програми, всього 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419 480,00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2022 р. - 120 000,00 грн.</w:t>
            </w:r>
            <w:r>
              <w:rPr>
                <w:color w:val="000000" w:themeColor="text1"/>
              </w:rPr>
            </w:r>
            <w:r/>
          </w:p>
          <w:p>
            <w:pPr>
              <w:ind w:right="41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2023 р. - 143 500,00 грн.</w:t>
            </w:r>
            <w:r>
              <w:rPr>
                <w:color w:val="000000" w:themeColor="text1"/>
              </w:rPr>
            </w:r>
            <w:r/>
          </w:p>
          <w:p>
            <w:pPr>
              <w:ind w:right="419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none"/>
                <w:lang w:val="uk-UA" w:eastAsia="uk-UA"/>
              </w:rPr>
              <w:t xml:space="preserve">2024 р. - 155 980,00 грн.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65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ВИЗНАЧЕННЯ ПРОБЛЕМ, НА РОЗВ’ЯЗАННЯ ЯКИХ СПРЯМОВАНА ПРОГРАМА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спрямована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фінансову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організацій, що діють на території Менської міської територіальної громади, які об’єднують ветеранів Другої світової війни, </w:t>
      </w:r>
      <w:r>
        <w:rPr>
          <w:rFonts w:ascii="Times New Roman" w:hAnsi="Times New Roman"/>
          <w:sz w:val="28"/>
          <w:szCs w:val="28"/>
        </w:rPr>
        <w:t xml:space="preserve">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війни</w:t>
      </w:r>
      <w:r>
        <w:rPr>
          <w:rFonts w:ascii="Times New Roman" w:hAnsi="Times New Roman"/>
          <w:sz w:val="28"/>
          <w:szCs w:val="28"/>
          <w:lang w:val="uk-UA"/>
        </w:rPr>
        <w:t xml:space="preserve">, інвалідів, громадян похилого віку, учасників бойових дій на території інших держав, </w:t>
      </w:r>
      <w:r>
        <w:rPr>
          <w:rFonts w:ascii="Times New Roman" w:hAnsi="Times New Roman"/>
          <w:sz w:val="28"/>
          <w:szCs w:val="28"/>
        </w:rPr>
        <w:t xml:space="preserve">ліквідаторів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аварії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Чорнобильській</w:t>
      </w:r>
      <w:r>
        <w:rPr>
          <w:rFonts w:ascii="Times New Roman" w:hAnsi="Times New Roman"/>
          <w:sz w:val="28"/>
          <w:szCs w:val="28"/>
        </w:rPr>
        <w:t xml:space="preserve"> АЕС, </w:t>
      </w:r>
      <w:r>
        <w:rPr>
          <w:rFonts w:ascii="Times New Roman" w:hAnsi="Times New Roman"/>
          <w:sz w:val="28"/>
          <w:szCs w:val="28"/>
        </w:rPr>
        <w:t xml:space="preserve">в’язнів</w:t>
      </w:r>
      <w:r>
        <w:rPr>
          <w:rFonts w:ascii="Times New Roman" w:hAnsi="Times New Roman"/>
          <w:sz w:val="28"/>
          <w:szCs w:val="28"/>
        </w:rPr>
        <w:t xml:space="preserve">-жертв нацизму</w:t>
      </w:r>
      <w:r>
        <w:rPr>
          <w:rFonts w:ascii="Times New Roman" w:hAnsi="Times New Roman"/>
          <w:sz w:val="28"/>
          <w:szCs w:val="28"/>
          <w:lang w:val="uk-UA"/>
        </w:rPr>
        <w:t xml:space="preserve">, учасників бойових дій в АТО/ООС, ветеранів військової служби та служби в інших силових структурах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обумовлена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зростанням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потребою </w:t>
      </w:r>
      <w:r>
        <w:rPr>
          <w:rFonts w:ascii="Times New Roman" w:hAnsi="Times New Roman"/>
          <w:sz w:val="28"/>
          <w:szCs w:val="28"/>
        </w:rPr>
        <w:t xml:space="preserve">вдосконалення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їх підтримки,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механізму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ролі</w:t>
      </w:r>
      <w:r>
        <w:rPr>
          <w:rFonts w:ascii="Times New Roman" w:hAnsi="Times New Roman"/>
          <w:sz w:val="28"/>
          <w:szCs w:val="28"/>
        </w:rPr>
        <w:t xml:space="preserve"> та авторитету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участі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громадському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розрахована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розв’язання</w:t>
      </w:r>
      <w:r>
        <w:rPr>
          <w:rFonts w:ascii="Times New Roman" w:hAnsi="Times New Roman"/>
          <w:sz w:val="28"/>
          <w:szCs w:val="28"/>
        </w:rPr>
        <w:t xml:space="preserve"> проблем в </w:t>
      </w:r>
      <w:r>
        <w:rPr>
          <w:rFonts w:ascii="Times New Roman" w:hAnsi="Times New Roman"/>
          <w:sz w:val="28"/>
          <w:szCs w:val="28"/>
        </w:rPr>
        <w:t xml:space="preserve">напрямку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 громадян, на проведення заходів з відзначення святко</w:t>
      </w:r>
      <w:r>
        <w:rPr>
          <w:rFonts w:ascii="Times New Roman" w:hAnsi="Times New Roman"/>
          <w:sz w:val="28"/>
          <w:szCs w:val="28"/>
          <w:lang w:val="uk-UA"/>
        </w:rPr>
        <w:t xml:space="preserve">вих, пам’ятних та історичних дат, з відвідування військових поховань і військових пам’ятників, вшанування ветеранів війни, жертв нацистських переслідувань та політичних репресій, захистом незалежності, суверенітету та територіальної цілісності України тощо</w:t>
      </w:r>
      <w:r>
        <w:rPr>
          <w:rFonts w:ascii="Times New Roman" w:hAnsi="Times New Roman"/>
          <w:sz w:val="28"/>
          <w:szCs w:val="28"/>
        </w:rPr>
        <w:t xml:space="preserve">.  </w:t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ЗАВДАННЯ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/>
          <w:b/>
          <w:sz w:val="28"/>
          <w:szCs w:val="28"/>
        </w:rPr>
        <w:t xml:space="preserve"> ПРОГРАМИ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</w:t>
      </w:r>
      <w:r>
        <w:rPr>
          <w:rFonts w:ascii="Times New Roman" w:hAnsi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</w:rPr>
        <w:t xml:space="preserve">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найважливіших</w:t>
      </w:r>
      <w:r>
        <w:rPr>
          <w:rFonts w:ascii="Times New Roman" w:hAnsi="Times New Roman"/>
          <w:sz w:val="28"/>
          <w:szCs w:val="28"/>
        </w:rPr>
        <w:t xml:space="preserve"> проблем </w:t>
      </w:r>
      <w:r>
        <w:rPr>
          <w:rFonts w:ascii="Times New Roman" w:hAnsi="Times New Roman"/>
          <w:sz w:val="28"/>
          <w:szCs w:val="28"/>
        </w:rPr>
        <w:t xml:space="preserve">розвитку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об’єднань ветеранів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захист</w:t>
      </w:r>
      <w:r>
        <w:rPr>
          <w:rFonts w:ascii="Times New Roman" w:hAnsi="Times New Roman"/>
          <w:sz w:val="28"/>
          <w:szCs w:val="28"/>
        </w:rPr>
        <w:t xml:space="preserve"> прав і свобод, </w:t>
      </w:r>
      <w:r>
        <w:rPr>
          <w:rFonts w:ascii="Times New Roman" w:hAnsi="Times New Roman"/>
          <w:sz w:val="28"/>
          <w:szCs w:val="28"/>
        </w:rPr>
        <w:t xml:space="preserve">задоволення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політичних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культурних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членів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на вирішення питання популяризації їх діяльності, активізацію громадського життя, проведення заходів, спрямованих на патріотичне виховання, історичний та духовний розвиток жителів громади.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Досягнення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зазначеної</w:t>
      </w:r>
      <w:r>
        <w:rPr>
          <w:rFonts w:ascii="Times New Roman" w:hAnsi="Times New Roman"/>
          <w:sz w:val="28"/>
          <w:szCs w:val="28"/>
        </w:rPr>
        <w:t xml:space="preserve"> мети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шляхом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Кошти, передбачені на реалізацію Програми, спрямовуються громадським об’єднанням ветеранів та можуть використовуватись на наступні заходи: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відзначення святкових, пам’ятних та історичних дат, пов’язаних з вшануванням та увічненням пам’яті ветеранів війни, жертв нацистськ</w:t>
      </w:r>
      <w:r>
        <w:rPr>
          <w:rFonts w:ascii="Times New Roman" w:hAnsi="Times New Roman"/>
          <w:sz w:val="28"/>
          <w:szCs w:val="28"/>
          <w:lang w:val="uk-UA"/>
        </w:rPr>
        <w:t xml:space="preserve">их переслідувань та політичних репресій,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України, а також відвідування військових поховань і військових пам’ятників;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проведення конференцій, пленумів, тренінгів, курсів, навчальних семінарів, засідань «круглого столу», спеціалізованих фестивалів, виставок, концертів, вечорів відпочинку, конкурсів та оглядів за участю творчих колективів громадських організацій ветеранів;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проведення спортивних заходів (змагань, чемпіонатів тощо), а також реабілітаційних заходів (запрошення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реабілітологів</w:t>
      </w:r>
      <w:r>
        <w:rPr>
          <w:rFonts w:ascii="Times New Roman" w:hAnsi="Times New Roman"/>
          <w:sz w:val="28"/>
          <w:szCs w:val="28"/>
          <w:lang w:val="uk-UA"/>
        </w:rPr>
        <w:t xml:space="preserve">, психологів до зустрічі з відповідними категоріями громадян в рамках Програми, оплата їх послуг);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проведення інформаційно-просвітницьких заходів;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проведення заходів з військово-патріотичного виховання, організація зустрічей з ветеранами, відвідування місць поховань, музеїв, місць бойової слави тощо;</w:t>
      </w:r>
      <w:r/>
    </w:p>
    <w:p>
      <w:pPr>
        <w:ind w:left="-15" w:right="0" w:firstLine="582"/>
        <w:jc w:val="both"/>
        <w:tabs>
          <w:tab w:val="left" w:pos="1134" w:leader="none"/>
        </w:tabs>
        <w:rPr>
          <w:rFonts w:ascii="Times New Roman" w:hAnsi="Times New Roman"/>
          <w:color w:val="FF0000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розроблення та виготовлення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, передплата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періодичних (</w:t>
      </w:r>
      <w:r>
        <w:rPr>
          <w:rFonts w:ascii="Times New Roman" w:hAnsi="Times New Roman"/>
          <w:sz w:val="28"/>
          <w:szCs w:val="28"/>
          <w:lang w:val="uk-UA"/>
        </w:rPr>
        <w:t xml:space="preserve">у тому числі для членів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ромадських об’єднань ветеранів</w:t>
      </w:r>
      <w:r>
        <w:rPr>
          <w:rFonts w:ascii="Times New Roman" w:hAnsi="Times New Roman"/>
          <w:sz w:val="28"/>
          <w:szCs w:val="28"/>
          <w:lang w:val="uk-UA"/>
        </w:rPr>
        <w:t xml:space="preserve">), довідкових, інформаційних, аналітичних та методичних видань з питань соціального захисту, реабілітації, соціалізації, адаптації, працевлаштування (без права їх подальшого використання в комерційних цілях)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7) сприяння увічненню Перемоги у Другій світовій війні, збереження пам’ятників і меморі</w:t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алів захисникам Вітчизни, видатним людям праці, науки, культури; участі у героїко-патріотичному вихованні молоді на кращих традиціях старших поколінь з метою прищеплення поваги до культурного і духовного надбання батьків, збереження спадкоємності поколінь;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ab/>
        <w:t xml:space="preserve">8) підтримання розвитку художньої самодіяльності, фізичної культури серед ветеранів, інвалідів;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shd w:val="clear" w:color="FFFFFF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FFFFFF" w:fill="FFFFFF"/>
          <w:lang w:val="uk-UA"/>
        </w:rPr>
        <w:t xml:space="preserve">9) придбання квіткової продукції (вінків, квітів), сувенірної продукції, призів, книжок тощо;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адміністративні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витрати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організаційне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матеріально-технічне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об’єднань ветеранів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</w:t>
      </w:r>
      <w:r>
        <w:rPr>
          <w:rFonts w:ascii="Times New Roman" w:hAnsi="Times New Roman"/>
          <w:sz w:val="28"/>
          <w:szCs w:val="28"/>
        </w:rPr>
        <w:t xml:space="preserve"> (проєктів, </w:t>
      </w:r>
      <w:r>
        <w:rPr>
          <w:rFonts w:ascii="Times New Roman" w:hAnsi="Times New Roman"/>
          <w:sz w:val="28"/>
          <w:szCs w:val="28"/>
        </w:rPr>
        <w:t xml:space="preserve">заходів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їх статутних завдань</w:t>
      </w:r>
      <w:r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саме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оплата праці (матеріальне заохочення) представників громадських об’єднань ветеранів (в обсягах, що не перевищує  розміру мінімальної заробітної плати на місяць);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оренда нежитлових приміщень у разі відсутності власних приміщень громадських об’єднань, або надання їм безоплатно таких приміщень у встановленому порядку;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середніх норм споживання щодо приміщень (</w:t>
      </w:r>
      <w:hyperlink w:tooltip="Current Document" w:anchor="n502" w:history="1">
        <w:r>
          <w:rPr>
            <w:rStyle w:val="988"/>
            <w:rFonts w:ascii="Times New Roman" w:hAnsi="Times New Roman" w:eastAsia="Arial"/>
            <w:color w:val="auto"/>
            <w:sz w:val="28"/>
            <w:szCs w:val="28"/>
            <w:u w:val="none"/>
            <w:lang w:val="uk-UA"/>
          </w:rPr>
          <w:t xml:space="preserve">статті 20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статус ветеранів війни, гарантії їх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»), в яких громадське об’єднання провадить свою статутну діяльність;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канцелярських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товарів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оргтехніки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оплата транспортних послуг;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- оплата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відряджень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 xml:space="preserve"> членам громадських об’єднань ветеранів, пов’язаних зі статутною діяльністю громадських об’єднань ветеранів (участь у пленумах, зборах, семінарах та інших заходах, які проводяться за межами Менської міської територіальної громади);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оплата банківських послуг;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придбання конвертів, марок, листівок;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 w:eastAsia="uk-UA"/>
        </w:rPr>
        <w:tab/>
        <w:t xml:space="preserve">- інші адміністративні витрати, безпосередньо пов’язані з діяльністю громадських об’єднань ветеранів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інші</w:t>
      </w:r>
      <w:r>
        <w:rPr>
          <w:rFonts w:ascii="Times New Roman" w:hAnsi="Times New Roman"/>
          <w:sz w:val="28"/>
          <w:szCs w:val="28"/>
        </w:rPr>
        <w:t xml:space="preserve"> заходи, </w:t>
      </w:r>
      <w:r>
        <w:rPr>
          <w:rFonts w:ascii="Times New Roman" w:hAnsi="Times New Roman"/>
          <w:sz w:val="28"/>
          <w:szCs w:val="28"/>
        </w:rPr>
        <w:t xml:space="preserve">передбачені</w:t>
      </w:r>
      <w:r>
        <w:rPr>
          <w:rFonts w:ascii="Times New Roman" w:hAnsi="Times New Roman"/>
          <w:sz w:val="28"/>
          <w:szCs w:val="28"/>
        </w:rPr>
        <w:t xml:space="preserve">  статут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ветеранської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організації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мають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меті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прибутку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1012"/>
        <w:ind w:left="-15" w:right="0" w:firstLine="582"/>
        <w:jc w:val="both"/>
        <w:spacing w:after="225" w:afterAutospacing="0" w:before="225" w:beforeAutospacing="0"/>
        <w:shd w:val="clear" w:color="FFFFFF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бюджетних коштів на інші цілі забороняється.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ФІНАНСОВЕ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/>
    </w:p>
    <w:p>
      <w:pPr>
        <w:ind w:left="-15" w:right="0" w:firstLine="5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здійснюється</w:t>
      </w:r>
      <w:r>
        <w:rPr>
          <w:rFonts w:ascii="Times New Roman" w:hAnsi="Times New Roman"/>
          <w:sz w:val="28"/>
          <w:szCs w:val="28"/>
        </w:rPr>
        <w:t xml:space="preserve"> в межах </w:t>
      </w:r>
      <w:r>
        <w:rPr>
          <w:rFonts w:ascii="Times New Roman" w:hAnsi="Times New Roman"/>
          <w:sz w:val="28"/>
          <w:szCs w:val="28"/>
        </w:rPr>
        <w:t xml:space="preserve">асигнувань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передбачених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бюджеті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2-2024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джерел</w:t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заборонених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. При цьому обсяг коштів визначається міською радою під час формування бюджету з урахуванням його фінансових можливостей та може змінюватись в процесі виконання бюджету при внесенні змін до нього.   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Витрачання коштів громадськими організаціями здійснюється на реалізацію заходів, передбачених розділом 3 даної Програми відповідно до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Порядку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ab/>
        <w:t xml:space="preserve">Фінансова підтримка громадських об’єднань ветеранів надається громадським організаціям, діяльність яких поширюється на територію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Менської міської територіальної громади з врахуванням особливостей розвитку в громаді ветеранського руху, активності і ефективності діяльності громадських організацій ветеранського спрямування, а також кількості учасників (членів) громадської організації. </w:t>
      </w:r>
      <w:r/>
    </w:p>
    <w:p>
      <w:pPr>
        <w:ind w:left="-15" w:right="0" w:firstLine="582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Обсяги фінансування Програми на 2022-2024 рік на конкретні заходи підтримки громадських об’єднань ветеранів визначені у Додатку до даної Програми. </w:t>
      </w:r>
      <w:r/>
    </w:p>
    <w:p>
      <w:pPr>
        <w:ind w:left="-15"/>
        <w:jc w:val="both"/>
        <w:tabs>
          <w:tab w:val="center" w:pos="448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/>
    </w:p>
    <w:p>
      <w:pPr>
        <w:numPr>
          <w:ilvl w:val="0"/>
          <w:numId w:val="26"/>
        </w:numPr>
        <w:ind w:left="0" w:right="496"/>
        <w:jc w:val="center"/>
        <w:spacing w:after="113" w:before="113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ОЧІКУВАНІ </w:t>
      </w:r>
      <w:r>
        <w:rPr>
          <w:rFonts w:ascii="Times New Roman" w:hAnsi="Times New Roman"/>
          <w:b/>
          <w:sz w:val="28"/>
          <w:szCs w:val="28"/>
        </w:rPr>
        <w:t xml:space="preserve">РЕЗУЛЬТАТИ  ВИКОНАННЯ</w:t>
      </w:r>
      <w:r>
        <w:rPr>
          <w:rFonts w:ascii="Times New Roman" w:hAnsi="Times New Roman"/>
          <w:b/>
          <w:sz w:val="28"/>
          <w:szCs w:val="28"/>
        </w:rPr>
        <w:t xml:space="preserve"> ПРОГРАМИ 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громадських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/>
          <w:sz w:val="28"/>
          <w:szCs w:val="28"/>
        </w:rPr>
        <w:t xml:space="preserve">всебічного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законних</w:t>
      </w:r>
      <w:r>
        <w:rPr>
          <w:rFonts w:ascii="Times New Roman" w:hAnsi="Times New Roman"/>
          <w:sz w:val="28"/>
          <w:szCs w:val="28"/>
        </w:rPr>
        <w:t xml:space="preserve"> прав, </w:t>
      </w:r>
      <w:r>
        <w:rPr>
          <w:rFonts w:ascii="Times New Roman" w:hAnsi="Times New Roman"/>
          <w:sz w:val="28"/>
          <w:szCs w:val="28"/>
        </w:rPr>
        <w:t xml:space="preserve">соціальних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економічних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вікових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відповідних категорій громадян;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взаємодії між громадськими об’єднаннями ветеранів та Менською міською радою з метою вирішення спільних завдань та реалізації спільних заходів;</w:t>
      </w:r>
      <w:r/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активізація діяльності громадських організацій у громаді, зростання ролі громадськості у життєдіяльності територіальної громади.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           Марина МОСКАЛЬЧУК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br w:type="page"/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iCs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1</w:t>
      </w:r>
      <w:r>
        <w:rPr>
          <w:sz w:val="28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sz w:val="28"/>
          <w:szCs w:val="20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фінансової 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ветеранів Менської міської територіальної громади на 202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 -2024 рік</w:t>
      </w:r>
      <w:r>
        <w:rPr>
          <w:sz w:val="28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highlight w:val="none"/>
          <w:lang w:val="uk-UA" w:eastAsia="ru-RU"/>
        </w:rPr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highlight w:val="none"/>
          <w:lang w:val="uk-UA" w:eastAsia="ru-RU"/>
        </w:rPr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ОБСЯГИ ТА НАПРМКИ ФІНАНСУВАННЯ </w:t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ПРОГРАМИ ФІНАНСОВОЇ ПІДТРИМКИ ГРОМАДСЬКИХ </w:t>
      </w:r>
      <w:r/>
    </w:p>
    <w:p>
      <w:pPr>
        <w:ind w:left="62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ОБ’ЄДНАНЬ ВЕТЕРАНІВ МЕНСЬКОЇ МІСЬКОЇ ТЕРИТОРІАЛЬНОЇ  ГРОМАДИ НА 202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-2024 РІК</w:t>
      </w:r>
      <w:r/>
    </w:p>
    <w:tbl>
      <w:tblPr>
        <w:tblStyle w:val="862"/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842"/>
        <w:gridCol w:w="2940"/>
        <w:gridCol w:w="2412"/>
      </w:tblGrid>
      <w:tr>
        <w:trPr/>
        <w:tc>
          <w:tcPr>
            <w:tcW w:w="5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№ з/п</w:t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Напрямки фінансування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Обсяги фінансування,</w:t>
            </w:r>
            <w:r/>
          </w:p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грн</w:t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Громадська організація</w:t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Примітка</w:t>
            </w:r>
            <w:r/>
          </w:p>
        </w:tc>
      </w:tr>
      <w:tr>
        <w:trPr/>
        <w:tc>
          <w:tcPr>
            <w:tcW w:w="58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1)Видатки на оплату праці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non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2)Нарахування ЄСВ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non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- 78600,00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- 86500,00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- 91980,00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none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- 19400,00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- 24500,00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- 26500,00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Організація ветеранів України Менської міської ТГ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Із розрахунку 0,75 ставки від мінімальної заробітної плати керівнику ветеранської організації; 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0,25 ставки від мінімальної заробітної плати бухгалтеру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Оплата комунальних послуг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- 2500,00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- 2500,00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- 2500,00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Організація ветеранів України Менської міської  ТГ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201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Проведення заходів згідно з напрямками визначених програмою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- 9500,00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- 15000,00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- 20000,00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Організація ветеранів України Менської міської  ТГ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З врахуванням заходів, що проводяться Менською районною спілкою ветеранів  Чорнобиля, первинною організацією Асоціації ветеранів МВС 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- 10000,00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- 10000,00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Менська територіальна організація воїнів-афганців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8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2022 р. - 5000,00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2023 р. - 5000,00 грн.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2024 р. - 5000,00 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94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Менська районна організація учасників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Антитерористичної організації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1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  <w:r>
        <w:rPr>
          <w:rFonts w:ascii="Times New Roman" w:hAnsi="Times New Roman" w:eastAsia="Times New Roman"/>
          <w:bCs/>
          <w:sz w:val="28"/>
          <w:szCs w:val="20"/>
          <w:highlight w:val="none"/>
          <w:lang w:val="uk-UA"/>
        </w:rPr>
      </w:r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           Марина МОСКАЛЬЧУК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002"/>
        <w:ind w:left="0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highlight w:val="none"/>
          <w:lang w:val="uk-UA"/>
        </w:rPr>
        <w:outlineLvl w:val="1"/>
      </w:pPr>
      <w:r>
        <w:rPr>
          <w:rFonts w:ascii="Times New Roman" w:hAnsi="Times New Roman" w:eastAsia="Times New Roman"/>
          <w:sz w:val="24"/>
          <w:szCs w:val="20"/>
          <w:highlight w:val="none"/>
          <w:lang w:val="uk-UA"/>
        </w:rPr>
        <w:br w:type="page"/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2</w:t>
      </w:r>
      <w:r>
        <w:rPr>
          <w:rFonts w:ascii="Times New Roman" w:hAnsi="Times New Roman" w:eastAsia="Times New Roman"/>
          <w:bCs/>
          <w:iCs/>
          <w:sz w:val="28"/>
          <w:szCs w:val="20"/>
        </w:rPr>
      </w:r>
      <w:r/>
    </w:p>
    <w:p>
      <w:pPr>
        <w:pStyle w:val="1002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highlight w:val="none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фінансової 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ветеранів Менської міської територіальної громади на 202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2-2024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 рік</w:t>
      </w:r>
      <w:r>
        <w:rPr>
          <w:rFonts w:ascii="Times New Roman" w:hAnsi="Times New Roman" w:eastAsia="Times New Roman"/>
          <w:color w:val="000000"/>
          <w:sz w:val="28"/>
          <w:szCs w:val="20"/>
          <w:highlight w:val="none"/>
          <w:lang w:val="uk-UA" w:eastAsia="ru-RU"/>
        </w:rPr>
      </w:r>
      <w:r/>
    </w:p>
    <w:p>
      <w:pPr>
        <w:ind w:left="4961" w:right="0" w:firstLine="0"/>
        <w:shd w:val="nil" w:color="000000"/>
        <w:rPr>
          <w:rFonts w:ascii="Times New Roman" w:hAnsi="Times New Roman" w:eastAsia="Times New Roman"/>
          <w:sz w:val="28"/>
          <w:szCs w:val="20"/>
        </w:rPr>
        <w:outlineLvl w:val="1"/>
      </w:pPr>
      <w:r>
        <w:rPr>
          <w:rFonts w:ascii="Times New Roman" w:hAnsi="Times New Roman" w:eastAsia="Times New Roman"/>
          <w:sz w:val="28"/>
          <w:szCs w:val="20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ru-RU"/>
        </w:rPr>
        <w:t xml:space="preserve">ПОРЯДОК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br/>
      </w: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t xml:space="preserve">використання коштів, передбачених в бюджеті Менської міської територіальної громади для надання фінансової підтримки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FFFFFF" w:fill="FFFFFF"/>
          <w:lang w:val="uk-UA" w:bidi="ar-SA" w:eastAsia="ru-RU"/>
        </w:rPr>
        <w:t xml:space="preserve">громадським об’єднанням ветеранів </w:t>
      </w:r>
      <w:r/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1. Цей Порядок визначає механізм використання коштів, передбачених в бюджеті Менської міської територіальної громади на відповідний  рік по функції «Фінансова підтримка громадських організацій ветеранів»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(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shd w:val="clear" w:color="FFFFFF" w:fill="FFFFFF"/>
          <w:lang w:val="uk-UA" w:bidi="ar-SA" w:eastAsia="ru-RU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алі по тексту – бюджетні кошти)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  <w:t xml:space="preserve">.</w:t>
      </w:r>
      <w:r/>
    </w:p>
    <w:p>
      <w:pPr>
        <w:ind w:firstLine="709"/>
        <w:jc w:val="both"/>
        <w:rPr>
          <w:rFonts w:ascii="Times New Roman" w:hAnsi="Times New Roman" w:eastAsia="Times New Roman"/>
          <w:color w:val="FF0000"/>
          <w:sz w:val="28"/>
          <w:szCs w:val="28"/>
          <w:lang w:val="uk-UA" w:bidi="ar-S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2. Головним розпорядником бюджетних коштів є Менська міська рада, їх одержувачем – громадське об’єднання ветеранів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України Менської міської ТГ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. Координація співпраці усіх громадських організацій – учасників програми здійснюється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відділом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 Менської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Фінансування за напрямками Програм здійснюється з врахуванням Меморандуму про співпрацю між громадськими об’єднаннями ветеранів через одержувача коштів -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Організацію ветеранів України Менської міської ТГ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3. Для отримання бюджетних коштів з метою їх використання в рамках виконання Програми фінансової підтримки громадських об’єднань ветеранів на 202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рік, затвердженої даним рішенням (далі – Програма), організація (об’єднання) громадська організація – одержувач бюджетних коштів подає до Менської міської ради відповідну зая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вку щодо потреби коштів та напрямки їх використання. Така заявка, а також інші необхідні документи, подаються не пізніше, ніж за 10 днів до проведення заходів, до відділу бухгалтерського обліку та звітності Менської міської ради за встановленою ним формою.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4. Координація діяльності з питань реалізації Програми покладається 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відділ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соціального захисту населення, сім’ї, молоді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охорони здоров’я Менської міської ради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.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5. Звіт про використання бюджетних коштів за попередній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рік (у разі їх отримання) з відповідними підтверджувальними документами, засвідчений підписом керівника громадської організації – одержувача коштів, що скріплений її печаткою, подається до відділу бухгалтерського обліку та звітності Менської міської ради.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Операції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пов’язані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з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використанням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проводяться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відповідно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до Порядку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обслуговування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місцевого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бюджету за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видатками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затвердженого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Державним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 казначейством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України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br/>
      </w:r>
      <w:r>
        <w:rPr>
          <w:rFonts w:ascii="Times New Roman" w:hAnsi="Times New Roman" w:eastAsia="Times New Roman"/>
          <w:sz w:val="28"/>
          <w:szCs w:val="28"/>
          <w:lang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7. Складання і подання бухгалтерської та фінансової звітності про </w:t>
      </w: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bidi="ar-SA" w:eastAsia="ru-RU"/>
        </w:rPr>
        <w:t xml:space="preserve">використання бюджетних коштів, а також контроль за їх цільовим витрачанням здійснюються в установленому законодавством порядку.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Для здійснення внутрішнього контролю за витрачанням бюджетних коштів та з метою виділення додаткових коштів, головний розпорядник коштів або профільні постійн</w:t>
      </w:r>
      <w:r>
        <w:rPr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міської ради мають право затребувати у громадської організації, що отримує фінансову підтримку з бюджету, проміжний фінансовий звіт з відповідними документами, які це підтверджують.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color="FFFFFF" w:fill="FFFFFF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Відповідальність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покладається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одержувач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бюджетних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коштів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1002"/>
        <w:ind w:right="140"/>
        <w:jc w:val="both"/>
        <w:keepNext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bCs/>
          <w:iCs/>
          <w:color w:val="7030A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shd w:val="clear" w:color="FFFFFF" w:fill="FFFFFF"/>
          <w:lang w:val="uk-UA" w:eastAsia="ru-RU"/>
        </w:rPr>
        <w:tab/>
        <w:t xml:space="preserve">10. Перерозподіл обсягів фінансування, встановлених у пункті 3 додатку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до 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проводиться за письмовою згодою керівників громадських організацій – учасників Програми та головного розпорядника бюджетних коштів.</w:t>
      </w:r>
      <w:r/>
    </w:p>
    <w:p>
      <w:pPr>
        <w:pStyle w:val="1002"/>
        <w:ind w:right="140"/>
        <w:jc w:val="both"/>
        <w:keepNext/>
        <w:spacing w:lineRule="auto" w:line="240" w:after="0"/>
        <w:tabs>
          <w:tab w:val="left" w:pos="567" w:leader="none"/>
          <w:tab w:val="left" w:pos="4962" w:leader="none"/>
        </w:tabs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color w:val="7030A0"/>
          <w:sz w:val="28"/>
          <w:szCs w:val="28"/>
          <w:lang w:val="uk-UA" w:eastAsia="ru-RU"/>
        </w:rPr>
        <w:tab/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11. Зміна розміру фінансування Програми в цілому та окремих її учасників проводиться у порядку, визначеному для  складання, розгляду, затвердження та основних вимог до виконання кошторисів бюджетних установ.</w:t>
      </w:r>
      <w:r/>
    </w:p>
    <w:p>
      <w:pPr>
        <w:pStyle w:val="1002"/>
        <w:ind w:right="140"/>
        <w:jc w:val="both"/>
        <w:keepNext/>
        <w:spacing w:lineRule="auto" w:line="240" w:after="0"/>
        <w:tabs>
          <w:tab w:val="left" w:pos="567" w:leader="none"/>
          <w:tab w:val="left" w:pos="4962" w:leader="none"/>
        </w:tabs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Cs/>
          <w:iCs/>
          <w:color w:val="7030A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12. Залишки кошторисних призначень, визначених на реалізацію Програми, що складуться на кінець бюджетного року, використовуються у порядку, визначеному Бюджетним кодексом України.</w:t>
      </w:r>
      <w:r/>
    </w:p>
    <w:p>
      <w:pPr>
        <w:jc w:val="both"/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shd w:val="clear" w:color="FFFFFF" w:fill="FFFFFF"/>
          <w:lang w:val="uk-UA" w:bidi="ar-SA" w:eastAsia="ru-RU"/>
        </w:rPr>
      </w:r>
      <w:r/>
    </w:p>
    <w:p>
      <w:pPr>
        <w:pStyle w:val="1031"/>
        <w:spacing w:after="225" w:afterAutospacing="0" w:before="225" w:beforeAutospacing="0"/>
        <w:shd w:val="clear" w:color="FFFFFF" w:fill="FFFFFF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соціального захисту</w:t>
      </w:r>
      <w:r/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населення, сім’ї, молоді та охорони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p>
      <w:pPr>
        <w:jc w:val="both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здоров’я Менської міської ради                                                    Марина МОСКАЛЬЧУК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276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ucida Sans Unicode">
    <w:panose1 w:val="020B06030308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17"/>
  </w:num>
  <w:num w:numId="5">
    <w:abstractNumId w:val="26"/>
  </w:num>
  <w:num w:numId="6">
    <w:abstractNumId w:val="6"/>
  </w:num>
  <w:num w:numId="7">
    <w:abstractNumId w:val="27"/>
  </w:num>
  <w:num w:numId="8">
    <w:abstractNumId w:val="7"/>
  </w:num>
  <w:num w:numId="9">
    <w:abstractNumId w:val="11"/>
  </w:num>
  <w:num w:numId="10">
    <w:abstractNumId w:val="25"/>
  </w:num>
  <w:num w:numId="11">
    <w:abstractNumId w:val="12"/>
  </w:num>
  <w:num w:numId="12">
    <w:abstractNumId w:val="19"/>
  </w:num>
  <w:num w:numId="13">
    <w:abstractNumId w:val="28"/>
  </w:num>
  <w:num w:numId="14">
    <w:abstractNumId w:val="23"/>
  </w:num>
  <w:num w:numId="15">
    <w:abstractNumId w:val="2"/>
  </w:num>
  <w:num w:numId="16">
    <w:abstractNumId w:val="22"/>
  </w:num>
  <w:num w:numId="17">
    <w:abstractNumId w:val="24"/>
  </w:num>
  <w:num w:numId="18">
    <w:abstractNumId w:val="8"/>
  </w:num>
  <w:num w:numId="19">
    <w:abstractNumId w:val="3"/>
  </w:num>
  <w:num w:numId="20">
    <w:abstractNumId w:val="18"/>
  </w:num>
  <w:num w:numId="21">
    <w:abstractNumId w:val="4"/>
  </w:num>
  <w:num w:numId="22">
    <w:abstractNumId w:val="5"/>
  </w:num>
  <w:num w:numId="23">
    <w:abstractNumId w:val="15"/>
  </w:num>
  <w:num w:numId="24">
    <w:abstractNumId w:val="20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13"/>
  </w:num>
  <w:num w:numId="30">
    <w:abstractNumId w:val="21"/>
  </w:num>
  <w:num w:numId="31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4">
    <w:name w:val="Heading 1 Char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745">
    <w:name w:val="Heading 2 Char"/>
    <w:basedOn w:val="771"/>
    <w:link w:val="763"/>
    <w:uiPriority w:val="9"/>
    <w:rPr>
      <w:rFonts w:ascii="Arial" w:hAnsi="Arial" w:cs="Arial" w:eastAsia="Arial"/>
      <w:sz w:val="34"/>
    </w:rPr>
  </w:style>
  <w:style w:type="character" w:styleId="746">
    <w:name w:val="Heading 3 Char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747">
    <w:name w:val="Heading 4 Char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48">
    <w:name w:val="Heading 5 Char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749">
    <w:name w:val="Heading 6 Char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750">
    <w:name w:val="Heading 7 Char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8 Char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752">
    <w:name w:val="Heading 9 Char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753">
    <w:name w:val="Header Char"/>
    <w:basedOn w:val="771"/>
    <w:link w:val="774"/>
    <w:uiPriority w:val="99"/>
  </w:style>
  <w:style w:type="character" w:styleId="754">
    <w:name w:val="Footer Char"/>
    <w:basedOn w:val="771"/>
    <w:link w:val="775"/>
    <w:uiPriority w:val="99"/>
  </w:style>
  <w:style w:type="paragraph" w:styleId="755">
    <w:name w:val="Caption"/>
    <w:basedOn w:val="761"/>
    <w:next w:val="7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775"/>
    <w:uiPriority w:val="99"/>
  </w:style>
  <w:style w:type="paragraph" w:styleId="757">
    <w:name w:val="endnote text"/>
    <w:basedOn w:val="761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771"/>
    <w:uiPriority w:val="99"/>
    <w:semiHidden/>
    <w:unhideWhenUsed/>
    <w:rPr>
      <w:vertAlign w:val="superscript"/>
    </w:rPr>
  </w:style>
  <w:style w:type="paragraph" w:styleId="760">
    <w:name w:val="table of figures"/>
    <w:basedOn w:val="761"/>
    <w:next w:val="761"/>
    <w:uiPriority w:val="99"/>
    <w:unhideWhenUsed/>
    <w:pPr>
      <w:spacing w:after="0" w:afterAutospacing="0"/>
    </w:pPr>
  </w:style>
  <w:style w:type="paragraph" w:styleId="761" w:default="1">
    <w:name w:val="Normal"/>
    <w:qFormat/>
    <w:rPr>
      <w:lang w:val="ru-RU" w:bidi="en-US" w:eastAsia="en-US"/>
    </w:rPr>
  </w:style>
  <w:style w:type="paragraph" w:styleId="762">
    <w:name w:val="Heading 1"/>
    <w:basedOn w:val="761"/>
    <w:next w:val="761"/>
    <w:link w:val="8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3">
    <w:name w:val="Heading 2"/>
    <w:basedOn w:val="761"/>
    <w:next w:val="761"/>
    <w:link w:val="8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4">
    <w:name w:val="Heading 3"/>
    <w:basedOn w:val="761"/>
    <w:next w:val="761"/>
    <w:link w:val="8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5">
    <w:name w:val="Heading 4"/>
    <w:basedOn w:val="761"/>
    <w:next w:val="761"/>
    <w:link w:val="8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6">
    <w:name w:val="Heading 5"/>
    <w:basedOn w:val="761"/>
    <w:next w:val="761"/>
    <w:link w:val="8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7">
    <w:name w:val="Heading 6"/>
    <w:basedOn w:val="761"/>
    <w:next w:val="761"/>
    <w:link w:val="82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8">
    <w:name w:val="Heading 7"/>
    <w:basedOn w:val="761"/>
    <w:next w:val="761"/>
    <w:link w:val="82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9">
    <w:name w:val="Heading 8"/>
    <w:basedOn w:val="761"/>
    <w:next w:val="761"/>
    <w:link w:val="8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0">
    <w:name w:val="Heading 9"/>
    <w:basedOn w:val="761"/>
    <w:next w:val="761"/>
    <w:link w:val="8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paragraph" w:styleId="774">
    <w:name w:val="Header"/>
    <w:basedOn w:val="761"/>
    <w:link w:val="83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75">
    <w:name w:val="Footer"/>
    <w:basedOn w:val="761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76">
    <w:name w:val="Plain Table 1"/>
    <w:basedOn w:val="7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4"/>
    <w:basedOn w:val="7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>
    <w:name w:val="Grid Table 5 Dark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86">
    <w:name w:val="Grid Table 6 Colorful"/>
    <w:basedOn w:val="7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>
    <w:name w:val="Grid Table 7 Colorful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772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>
    <w:name w:val="List Table 3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7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7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>
    <w:name w:val="List Table 7 Colorful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а простая 11"/>
    <w:basedOn w:val="7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21"/>
    <w:basedOn w:val="7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3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Таблица простая 4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а простая 51"/>
    <w:basedOn w:val="7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Таблица-сетка 1 светлая1"/>
    <w:basedOn w:val="7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а-сетка 21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а-сетка 31"/>
    <w:basedOn w:val="7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а-сетка 41"/>
    <w:basedOn w:val="7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Таблица-сетка 5 темная1"/>
    <w:basedOn w:val="7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7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Таблица-сетка 7 цветная1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Список-таблица 1 светлая1"/>
    <w:basedOn w:val="772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Список-таблица 21"/>
    <w:basedOn w:val="7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Список-таблица 31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Список-таблица 41"/>
    <w:basedOn w:val="7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Список-таблица 5 темная1"/>
    <w:basedOn w:val="7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Список-таблица 6 цветная1"/>
    <w:basedOn w:val="7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Список-таблица 7 цветная1"/>
    <w:basedOn w:val="7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14" w:customStyle="1">
    <w:name w:val="Заголовок 11"/>
    <w:link w:val="839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15" w:customStyle="1">
    <w:name w:val="Заголовок 21"/>
    <w:link w:val="840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16" w:customStyle="1">
    <w:name w:val="Заголовок 31"/>
    <w:link w:val="841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17" w:customStyle="1">
    <w:name w:val="Заголовок 41"/>
    <w:link w:val="84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18" w:customStyle="1">
    <w:name w:val="Заголовок 51"/>
    <w:link w:val="84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19" w:customStyle="1">
    <w:name w:val="Заголовок 61"/>
    <w:link w:val="844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20" w:customStyle="1">
    <w:name w:val="Заголовок 71"/>
    <w:link w:val="845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21" w:customStyle="1">
    <w:name w:val="Заголовок 81"/>
    <w:link w:val="846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22" w:customStyle="1">
    <w:name w:val="Заголовок 91"/>
    <w:link w:val="84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23" w:customStyle="1">
    <w:name w:val="Заголовок 1 Знак1"/>
    <w:basedOn w:val="771"/>
    <w:link w:val="762"/>
    <w:uiPriority w:val="9"/>
    <w:rPr>
      <w:rFonts w:ascii="Arial" w:hAnsi="Arial" w:cs="Arial" w:eastAsia="Arial"/>
      <w:sz w:val="40"/>
      <w:szCs w:val="40"/>
    </w:rPr>
  </w:style>
  <w:style w:type="character" w:styleId="824" w:customStyle="1">
    <w:name w:val="Заголовок 2 Знак1"/>
    <w:basedOn w:val="771"/>
    <w:link w:val="763"/>
    <w:uiPriority w:val="9"/>
    <w:rPr>
      <w:rFonts w:ascii="Arial" w:hAnsi="Arial" w:cs="Arial" w:eastAsia="Arial"/>
      <w:sz w:val="34"/>
    </w:rPr>
  </w:style>
  <w:style w:type="character" w:styleId="825" w:customStyle="1">
    <w:name w:val="Заголовок 3 Знак1"/>
    <w:basedOn w:val="771"/>
    <w:link w:val="764"/>
    <w:uiPriority w:val="9"/>
    <w:rPr>
      <w:rFonts w:ascii="Arial" w:hAnsi="Arial" w:cs="Arial" w:eastAsia="Arial"/>
      <w:sz w:val="30"/>
      <w:szCs w:val="30"/>
    </w:rPr>
  </w:style>
  <w:style w:type="character" w:styleId="826" w:customStyle="1">
    <w:name w:val="Заголовок 4 Знак1"/>
    <w:basedOn w:val="771"/>
    <w:link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827" w:customStyle="1">
    <w:name w:val="Заголовок 5 Знак1"/>
    <w:basedOn w:val="771"/>
    <w:link w:val="766"/>
    <w:uiPriority w:val="9"/>
    <w:rPr>
      <w:rFonts w:ascii="Arial" w:hAnsi="Arial" w:cs="Arial" w:eastAsia="Arial"/>
      <w:b/>
      <w:bCs/>
      <w:sz w:val="24"/>
      <w:szCs w:val="24"/>
    </w:rPr>
  </w:style>
  <w:style w:type="character" w:styleId="828" w:customStyle="1">
    <w:name w:val="Заголовок 6 Знак1"/>
    <w:basedOn w:val="771"/>
    <w:link w:val="767"/>
    <w:uiPriority w:val="9"/>
    <w:rPr>
      <w:rFonts w:ascii="Arial" w:hAnsi="Arial" w:cs="Arial" w:eastAsia="Arial"/>
      <w:b/>
      <w:bCs/>
      <w:sz w:val="22"/>
      <w:szCs w:val="22"/>
    </w:rPr>
  </w:style>
  <w:style w:type="character" w:styleId="829" w:customStyle="1">
    <w:name w:val="Заголовок 7 Знак1"/>
    <w:basedOn w:val="771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0" w:customStyle="1">
    <w:name w:val="Заголовок 8 Знак1"/>
    <w:basedOn w:val="771"/>
    <w:link w:val="769"/>
    <w:uiPriority w:val="9"/>
    <w:rPr>
      <w:rFonts w:ascii="Arial" w:hAnsi="Arial" w:cs="Arial" w:eastAsia="Arial"/>
      <w:i/>
      <w:iCs/>
      <w:sz w:val="22"/>
      <w:szCs w:val="22"/>
    </w:rPr>
  </w:style>
  <w:style w:type="character" w:styleId="831" w:customStyle="1">
    <w:name w:val="Заголовок 9 Знак1"/>
    <w:basedOn w:val="771"/>
    <w:link w:val="770"/>
    <w:uiPriority w:val="9"/>
    <w:rPr>
      <w:rFonts w:ascii="Arial" w:hAnsi="Arial" w:cs="Arial" w:eastAsia="Arial"/>
      <w:i/>
      <w:iCs/>
      <w:sz w:val="21"/>
      <w:szCs w:val="21"/>
    </w:rPr>
  </w:style>
  <w:style w:type="character" w:styleId="832" w:customStyle="1">
    <w:name w:val="Title Char"/>
    <w:basedOn w:val="771"/>
    <w:uiPriority w:val="10"/>
    <w:rPr>
      <w:sz w:val="48"/>
      <w:szCs w:val="48"/>
    </w:rPr>
  </w:style>
  <w:style w:type="character" w:styleId="833" w:customStyle="1">
    <w:name w:val="Subtitle Char"/>
    <w:basedOn w:val="771"/>
    <w:uiPriority w:val="11"/>
    <w:rPr>
      <w:sz w:val="24"/>
      <w:szCs w:val="24"/>
    </w:rPr>
  </w:style>
  <w:style w:type="character" w:styleId="834" w:customStyle="1">
    <w:name w:val="Quote Char"/>
    <w:uiPriority w:val="29"/>
    <w:rPr>
      <w:i/>
    </w:rPr>
  </w:style>
  <w:style w:type="character" w:styleId="835" w:customStyle="1">
    <w:name w:val="Intense Quote Char"/>
    <w:uiPriority w:val="30"/>
    <w:rPr>
      <w:i/>
    </w:rPr>
  </w:style>
  <w:style w:type="character" w:styleId="836" w:customStyle="1">
    <w:name w:val="Верхній колонтитул Знак1"/>
    <w:basedOn w:val="771"/>
    <w:link w:val="774"/>
    <w:uiPriority w:val="99"/>
  </w:style>
  <w:style w:type="character" w:styleId="837" w:customStyle="1">
    <w:name w:val="Нижній колонтитул Знак1"/>
    <w:basedOn w:val="771"/>
    <w:link w:val="775"/>
    <w:uiPriority w:val="99"/>
  </w:style>
  <w:style w:type="character" w:styleId="838" w:customStyle="1">
    <w:name w:val="Footnote Text Char"/>
    <w:uiPriority w:val="99"/>
    <w:rPr>
      <w:sz w:val="18"/>
    </w:rPr>
  </w:style>
  <w:style w:type="character" w:styleId="839" w:customStyle="1">
    <w:name w:val="Заголовок 1 Знак"/>
    <w:link w:val="814"/>
    <w:uiPriority w:val="9"/>
    <w:rPr>
      <w:rFonts w:ascii="Arial" w:hAnsi="Arial" w:cs="Arial" w:eastAsia="Arial"/>
      <w:sz w:val="40"/>
      <w:szCs w:val="40"/>
    </w:rPr>
  </w:style>
  <w:style w:type="character" w:styleId="840" w:customStyle="1">
    <w:name w:val="Заголовок 2 Знак"/>
    <w:link w:val="815"/>
    <w:uiPriority w:val="9"/>
    <w:rPr>
      <w:rFonts w:ascii="Arial" w:hAnsi="Arial" w:cs="Arial" w:eastAsia="Arial"/>
      <w:sz w:val="34"/>
    </w:rPr>
  </w:style>
  <w:style w:type="character" w:styleId="841" w:customStyle="1">
    <w:name w:val="Заголовок 3 Знак"/>
    <w:link w:val="816"/>
    <w:uiPriority w:val="9"/>
    <w:rPr>
      <w:rFonts w:ascii="Arial" w:hAnsi="Arial" w:cs="Arial" w:eastAsia="Arial"/>
      <w:sz w:val="30"/>
      <w:szCs w:val="30"/>
    </w:rPr>
  </w:style>
  <w:style w:type="character" w:styleId="842" w:customStyle="1">
    <w:name w:val="Заголовок 4 Знак"/>
    <w:link w:val="817"/>
    <w:uiPriority w:val="9"/>
    <w:rPr>
      <w:rFonts w:ascii="Arial" w:hAnsi="Arial" w:cs="Arial" w:eastAsia="Arial"/>
      <w:b/>
      <w:bCs/>
      <w:sz w:val="26"/>
      <w:szCs w:val="26"/>
    </w:rPr>
  </w:style>
  <w:style w:type="character" w:styleId="843" w:customStyle="1">
    <w:name w:val="Заголовок 5 Знак"/>
    <w:link w:val="818"/>
    <w:uiPriority w:val="9"/>
    <w:rPr>
      <w:rFonts w:ascii="Arial" w:hAnsi="Arial" w:cs="Arial" w:eastAsia="Arial"/>
      <w:b/>
      <w:bCs/>
      <w:sz w:val="24"/>
      <w:szCs w:val="24"/>
    </w:rPr>
  </w:style>
  <w:style w:type="character" w:styleId="844" w:customStyle="1">
    <w:name w:val="Заголовок 6 Знак"/>
    <w:link w:val="819"/>
    <w:uiPriority w:val="9"/>
    <w:rPr>
      <w:rFonts w:ascii="Arial" w:hAnsi="Arial" w:cs="Arial" w:eastAsia="Arial"/>
      <w:b/>
      <w:bCs/>
      <w:sz w:val="22"/>
      <w:szCs w:val="22"/>
    </w:rPr>
  </w:style>
  <w:style w:type="character" w:styleId="845" w:customStyle="1">
    <w:name w:val="Заголовок 7 Знак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6" w:customStyle="1">
    <w:name w:val="Заголовок 8 Знак"/>
    <w:link w:val="821"/>
    <w:uiPriority w:val="9"/>
    <w:rPr>
      <w:rFonts w:ascii="Arial" w:hAnsi="Arial" w:cs="Arial" w:eastAsia="Arial"/>
      <w:i/>
      <w:iCs/>
      <w:sz w:val="22"/>
      <w:szCs w:val="22"/>
    </w:rPr>
  </w:style>
  <w:style w:type="character" w:styleId="847" w:customStyle="1">
    <w:name w:val="Заголовок 9 Знак"/>
    <w:link w:val="822"/>
    <w:uiPriority w:val="9"/>
    <w:rPr>
      <w:rFonts w:ascii="Arial" w:hAnsi="Arial" w:cs="Arial" w:eastAsia="Arial"/>
      <w:i/>
      <w:iCs/>
      <w:sz w:val="21"/>
      <w:szCs w:val="21"/>
    </w:rPr>
  </w:style>
  <w:style w:type="paragraph" w:styleId="848">
    <w:name w:val="List Paragraph"/>
    <w:link w:val="1032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849">
    <w:name w:val="No Spacing"/>
    <w:qFormat/>
    <w:uiPriority w:val="1"/>
    <w:rPr>
      <w:lang w:val="ru-RU" w:bidi="en-US" w:eastAsia="en-US"/>
    </w:rPr>
  </w:style>
  <w:style w:type="paragraph" w:styleId="850">
    <w:name w:val="Title"/>
    <w:link w:val="851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51" w:customStyle="1">
    <w:name w:val="Назва Знак"/>
    <w:link w:val="850"/>
    <w:uiPriority w:val="10"/>
    <w:rPr>
      <w:sz w:val="48"/>
      <w:szCs w:val="48"/>
    </w:rPr>
  </w:style>
  <w:style w:type="paragraph" w:styleId="852">
    <w:name w:val="Subtitle"/>
    <w:link w:val="853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53" w:customStyle="1">
    <w:name w:val="Підзаголовок Знак"/>
    <w:link w:val="852"/>
    <w:uiPriority w:val="11"/>
    <w:rPr>
      <w:sz w:val="24"/>
      <w:szCs w:val="24"/>
    </w:rPr>
  </w:style>
  <w:style w:type="paragraph" w:styleId="854">
    <w:name w:val="Quote"/>
    <w:link w:val="855"/>
    <w:qFormat/>
    <w:uiPriority w:val="29"/>
    <w:rPr>
      <w:i/>
      <w:lang w:val="ru-RU" w:bidi="en-US" w:eastAsia="en-US"/>
    </w:rPr>
    <w:pPr>
      <w:ind w:left="720" w:right="720"/>
    </w:pPr>
  </w:style>
  <w:style w:type="character" w:styleId="855" w:customStyle="1">
    <w:name w:val="Цитата Знак"/>
    <w:link w:val="854"/>
    <w:uiPriority w:val="29"/>
    <w:rPr>
      <w:i/>
    </w:rPr>
  </w:style>
  <w:style w:type="paragraph" w:styleId="856">
    <w:name w:val="Intense Quote"/>
    <w:link w:val="857"/>
    <w:qFormat/>
    <w:uiPriority w:val="30"/>
    <w:rPr>
      <w:i/>
      <w:lang w:val="ru-RU" w:bidi="en-US" w:eastAsia="en-US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7" w:customStyle="1">
    <w:name w:val="Насичена цитата Знак"/>
    <w:link w:val="856"/>
    <w:uiPriority w:val="30"/>
    <w:rPr>
      <w:i/>
    </w:rPr>
  </w:style>
  <w:style w:type="paragraph" w:styleId="858" w:customStyle="1">
    <w:name w:val="Верхний колонтитул1"/>
    <w:link w:val="85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59" w:customStyle="1">
    <w:name w:val="Верхній колонтитул Знак"/>
    <w:link w:val="858"/>
    <w:uiPriority w:val="99"/>
  </w:style>
  <w:style w:type="paragraph" w:styleId="860" w:customStyle="1">
    <w:name w:val="Нижний колонтитул1"/>
    <w:link w:val="86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61" w:customStyle="1">
    <w:name w:val="Нижній колонтитул Знак"/>
    <w:link w:val="860"/>
    <w:uiPriority w:val="99"/>
  </w:style>
  <w:style w:type="table" w:styleId="862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88">
    <w:name w:val="Hyperlink"/>
    <w:uiPriority w:val="99"/>
    <w:unhideWhenUsed/>
    <w:rPr>
      <w:color w:val="0000FF"/>
      <w:u w:val="single"/>
    </w:rPr>
  </w:style>
  <w:style w:type="paragraph" w:styleId="989">
    <w:name w:val="footnote text"/>
    <w:link w:val="990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90" w:customStyle="1">
    <w:name w:val="Текст виноски Знак"/>
    <w:link w:val="989"/>
    <w:uiPriority w:val="99"/>
    <w:rPr>
      <w:sz w:val="18"/>
    </w:rPr>
  </w:style>
  <w:style w:type="character" w:styleId="991">
    <w:name w:val="footnote reference"/>
    <w:uiPriority w:val="99"/>
    <w:unhideWhenUsed/>
    <w:rPr>
      <w:vertAlign w:val="superscript"/>
    </w:rPr>
  </w:style>
  <w:style w:type="paragraph" w:styleId="992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93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94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95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96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97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98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99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00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01">
    <w:name w:val="TOC Heading"/>
    <w:uiPriority w:val="39"/>
    <w:unhideWhenUsed/>
    <w:rPr>
      <w:lang w:val="ru-RU" w:bidi="en-US" w:eastAsia="en-US"/>
    </w:rPr>
  </w:style>
  <w:style w:type="paragraph" w:styleId="1002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1003" w:customStyle="1">
    <w:name w:val="Основной шрифт абзаца1"/>
    <w:semiHidden/>
  </w:style>
  <w:style w:type="table" w:styleId="1004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05" w:customStyle="1">
    <w:name w:val="Нет списка1"/>
    <w:semiHidden/>
  </w:style>
  <w:style w:type="paragraph" w:styleId="1006" w:customStyle="1">
    <w:name w:val="Абзац списка1"/>
    <w:basedOn w:val="1002"/>
    <w:pPr>
      <w:contextualSpacing w:val="true"/>
      <w:ind w:left="720"/>
    </w:pPr>
  </w:style>
  <w:style w:type="paragraph" w:styleId="1007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08" w:customStyle="1">
    <w:name w:val="Без интервала1"/>
    <w:rPr>
      <w:rFonts w:ascii="Times New Roman" w:hAnsi="Times New Roman" w:eastAsia="Batang"/>
      <w:lang w:eastAsia="ru-RU"/>
    </w:rPr>
  </w:style>
  <w:style w:type="paragraph" w:styleId="1009" w:customStyle="1">
    <w:name w:val="Стандартный HTML1"/>
    <w:basedOn w:val="1002"/>
    <w:link w:val="1010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10" w:customStyle="1">
    <w:name w:val="Стандартный HTML Знак"/>
    <w:link w:val="1009"/>
    <w:rPr>
      <w:rFonts w:ascii="Courier New" w:hAnsi="Courier New" w:eastAsia="Times New Roman"/>
      <w:sz w:val="20"/>
      <w:szCs w:val="20"/>
      <w:lang w:eastAsia="ru-RU"/>
    </w:rPr>
  </w:style>
  <w:style w:type="character" w:styleId="1011" w:customStyle="1">
    <w:name w:val="Выделение1"/>
    <w:rPr>
      <w:i/>
      <w:iCs/>
    </w:rPr>
  </w:style>
  <w:style w:type="paragraph" w:styleId="1012" w:customStyle="1">
    <w:name w:val="rvps2"/>
    <w:basedOn w:val="100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13" w:customStyle="1">
    <w:name w:val="Основной текст_"/>
    <w:link w:val="1014"/>
    <w:uiPriority w:val="99"/>
    <w:rPr>
      <w:sz w:val="25"/>
      <w:shd w:val="clear" w:color="FFFFFF" w:fill="FFFFFF"/>
    </w:rPr>
  </w:style>
  <w:style w:type="paragraph" w:styleId="1014" w:customStyle="1">
    <w:name w:val="Основной текст2"/>
    <w:basedOn w:val="1002"/>
    <w:link w:val="1013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FFFFFF" w:fill="FFFFFF"/>
      <w:widowControl w:val="off"/>
    </w:pPr>
  </w:style>
  <w:style w:type="character" w:styleId="1015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16" w:customStyle="1">
    <w:name w:val="Абзац списку1"/>
    <w:basedOn w:val="1002"/>
    <w:qFormat/>
    <w:uiPriority w:val="99"/>
    <w:pPr>
      <w:contextualSpacing w:val="true"/>
      <w:ind w:left="720"/>
    </w:pPr>
  </w:style>
  <w:style w:type="character" w:styleId="1017" w:customStyle="1">
    <w:name w:val="rvts9"/>
  </w:style>
  <w:style w:type="paragraph" w:styleId="1018" w:customStyle="1">
    <w:name w:val="Текст выноски1"/>
    <w:basedOn w:val="1002"/>
    <w:link w:val="1019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19" w:customStyle="1">
    <w:name w:val="Текст выноски Знак"/>
    <w:link w:val="1018"/>
    <w:semiHidden/>
    <w:rPr>
      <w:rFonts w:ascii="Arial" w:hAnsi="Arial"/>
      <w:sz w:val="18"/>
      <w:szCs w:val="18"/>
      <w:lang w:val="ru-RU" w:eastAsia="en-US"/>
    </w:rPr>
  </w:style>
  <w:style w:type="paragraph" w:styleId="1020">
    <w:name w:val="HTML Preformatted"/>
    <w:basedOn w:val="761"/>
    <w:link w:val="1021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1" w:customStyle="1">
    <w:name w:val="Стандартний HTML Знак"/>
    <w:link w:val="1020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22">
    <w:name w:val="Body Text Indent"/>
    <w:basedOn w:val="761"/>
    <w:link w:val="1023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3" w:customStyle="1">
    <w:name w:val="Основний текст з відступом Знак"/>
    <w:link w:val="1022"/>
    <w:rPr>
      <w:rFonts w:ascii="Times New Roman" w:hAnsi="Times New Roman" w:eastAsia="Times New Roman"/>
      <w:lang w:eastAsia="ru-RU"/>
    </w:rPr>
  </w:style>
  <w:style w:type="paragraph" w:styleId="1024">
    <w:name w:val="Body Text Indent 3"/>
    <w:basedOn w:val="761"/>
    <w:link w:val="1025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25" w:customStyle="1">
    <w:name w:val="Основний текст з відступом 3 Знак"/>
    <w:link w:val="1024"/>
    <w:uiPriority w:val="99"/>
    <w:semiHidden/>
    <w:rPr>
      <w:sz w:val="16"/>
      <w:szCs w:val="16"/>
      <w:lang w:val="ru-RU" w:bidi="en-US" w:eastAsia="en-US"/>
    </w:rPr>
  </w:style>
  <w:style w:type="paragraph" w:styleId="1026" w:customStyle="1">
    <w:name w:val="Абзац списку2"/>
    <w:basedOn w:val="761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27" w:customStyle="1">
    <w:name w:val="docdata"/>
    <w:basedOn w:val="761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28">
    <w:name w:val="Strong"/>
    <w:basedOn w:val="771"/>
    <w:qFormat/>
    <w:uiPriority w:val="22"/>
    <w:rPr>
      <w:b/>
      <w:bCs/>
    </w:rPr>
  </w:style>
  <w:style w:type="character" w:styleId="1029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1030" w:customStyle="1">
    <w:name w:val="Heading #41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color="FFFFFF" w:fill="FFFFFF"/>
      <w:widowControl w:val="off"/>
      <w:outlineLvl w:val="3"/>
    </w:pPr>
  </w:style>
  <w:style w:type="paragraph" w:styleId="1031">
    <w:name w:val="Normal (Web)"/>
    <w:basedOn w:val="761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32" w:customStyle="1">
    <w:name w:val="Абзац списку Знак"/>
    <w:link w:val="848"/>
    <w:uiPriority w:val="34"/>
    <w:rPr>
      <w:lang w:val="ru-RU" w:bidi="en-US" w:eastAsia="en-US"/>
    </w:rPr>
  </w:style>
  <w:style w:type="table" w:styleId="1033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34" w:customStyle="1">
    <w:name w:val="docy"/>
    <w:basedOn w:val="7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15</cp:revision>
  <dcterms:created xsi:type="dcterms:W3CDTF">2021-11-10T13:41:00Z</dcterms:created>
  <dcterms:modified xsi:type="dcterms:W3CDTF">2021-11-26T12:44:27Z</dcterms:modified>
</cp:coreProperties>
</file>