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ind w:left="0" w:right="-1"/>
        <w:rPr>
          <w:highlight w:val="none"/>
          <w:lang w:val="uk-UA"/>
        </w:rPr>
      </w:pPr>
      <w:r>
        <w:rPr>
          <w:sz w:val="18"/>
          <w:szCs w:val="18"/>
          <w:highlight w:val="none"/>
          <w:lang w:val="uk-UA"/>
        </w:rPr>
      </w:r>
      <w:r>
        <w:rPr>
          <w:sz w:val="18"/>
          <w:szCs w:val="18"/>
          <w:highlight w:val="none"/>
          <w:lang w:val="uk-UA"/>
        </w:rPr>
      </w:r>
      <w:r/>
    </w:p>
    <w:p>
      <w:pPr>
        <w:pStyle w:val="876"/>
        <w:ind w:left="566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/>
    </w:p>
    <w:p>
      <w:pPr>
        <w:pStyle w:val="876"/>
        <w:ind w:left="5664" w:right="-1"/>
        <w:jc w:val="both"/>
        <w:rPr>
          <w:sz w:val="28"/>
          <w:szCs w:val="1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  <w:r>
        <w:rPr>
          <w:sz w:val="28"/>
          <w:szCs w:val="18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pStyle w:val="876"/>
        <w:ind w:left="5664" w:right="-1"/>
        <w:jc w:val="both"/>
        <w:rPr>
          <w:sz w:val="28"/>
          <w:szCs w:val="18"/>
          <w:highlight w:val="none"/>
          <w:lang w:val="uk-UA"/>
        </w:rPr>
      </w:pPr>
      <w:r>
        <w:rPr>
          <w:sz w:val="28"/>
          <w:szCs w:val="18"/>
          <w:highlight w:val="none"/>
          <w:lang w:val="uk-UA"/>
        </w:rPr>
        <w:t xml:space="preserve">23 листопада 2021 року №</w:t>
      </w:r>
      <w:r>
        <w:rPr>
          <w:sz w:val="28"/>
          <w:szCs w:val="18"/>
          <w:highlight w:val="none"/>
          <w:lang w:val="uk-UA"/>
        </w:rPr>
        <w:t xml:space="preserve"> 347</w:t>
      </w:r>
      <w:r/>
    </w:p>
    <w:p>
      <w:pPr>
        <w:pStyle w:val="876"/>
        <w:ind w:left="5664" w:right="-1"/>
        <w:jc w:val="both"/>
        <w:rPr>
          <w:sz w:val="28"/>
          <w:highlight w:val="none"/>
          <w:lang w:val="uk-UA"/>
        </w:rPr>
      </w:pPr>
      <w:r>
        <w:rPr>
          <w:sz w:val="28"/>
          <w:szCs w:val="18"/>
          <w:highlight w:val="none"/>
          <w:lang w:val="uk-UA"/>
        </w:rPr>
      </w:r>
      <w:r>
        <w:rPr>
          <w:sz w:val="28"/>
          <w:szCs w:val="1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Проєкт Програми «Служба перевезення «Соціальне таксі»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877"/>
        <w:numPr>
          <w:ilvl w:val="0"/>
          <w:numId w:val="4"/>
        </w:numPr>
        <w:ind w:left="0" w:firstLine="0"/>
        <w:jc w:val="center"/>
        <w:tabs>
          <w:tab w:val="left" w:pos="1008" w:leader="none"/>
        </w:tabs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Паспорт програми «Служба перевезення «Соціальне таксі» Менської міської ради на </w:t>
      </w:r>
      <w:r>
        <w:rPr>
          <w:rFonts w:eastAsia="Times New Roman"/>
          <w:b/>
          <w:sz w:val="28"/>
          <w:szCs w:val="28"/>
        </w:rPr>
        <w:t xml:space="preserve">2022</w:t>
      </w:r>
      <w:r>
        <w:rPr>
          <w:rFonts w:eastAsia="Times New Roman"/>
          <w:b/>
          <w:sz w:val="28"/>
          <w:szCs w:val="28"/>
        </w:rPr>
        <w:t xml:space="preserve">-202</w:t>
      </w:r>
      <w:r>
        <w:rPr>
          <w:rFonts w:eastAsia="Times New Roman"/>
          <w:b/>
          <w:sz w:val="28"/>
          <w:szCs w:val="28"/>
        </w:rPr>
        <w:t xml:space="preserve">4</w:t>
      </w:r>
      <w:r>
        <w:rPr>
          <w:rFonts w:eastAsia="Times New Roman"/>
          <w:b/>
          <w:sz w:val="28"/>
          <w:szCs w:val="28"/>
        </w:rPr>
        <w:t xml:space="preserve"> роки</w:t>
      </w:r>
      <w:r>
        <w:rPr>
          <w:rFonts w:eastAsia="Times New Roman"/>
          <w:b/>
          <w:sz w:val="28"/>
          <w:szCs w:val="28"/>
        </w:rPr>
      </w:r>
      <w:r/>
    </w:p>
    <w:tbl>
      <w:tblPr>
        <w:tblStyle w:val="725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48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429" w:right="13" w:firstLine="8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Ініціатор розроблення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рада, ініціативна група осіб з інвалідністю та батьки дітей з інвалідністю, які мають порушення опорно-рухового апарату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Рішення зборів ініціативної групи та громадськості (Протокол №1 від 04.03.2020р.)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Розробник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Відповідальний виконавець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Головний розпорядник бюджетних коштів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рада, </w:t>
            </w:r>
            <w:r>
              <w:rPr>
                <w:rFonts w:eastAsia="Times New Roman"/>
                <w:sz w:val="28"/>
                <w:szCs w:val="28"/>
              </w:rPr>
              <w:t xml:space="preserve">в</w:t>
            </w:r>
            <w:r>
              <w:rPr>
                <w:rFonts w:eastAsia="Times New Roman"/>
                <w:sz w:val="28"/>
                <w:szCs w:val="28"/>
              </w:rPr>
              <w:t xml:space="preserve">ідділ соціального захисту, сім’ї, молоді та охорони здоров’я  Менської міської ради, КУ «Менський міський центр соціальних служб»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Менської міської ради, КУ «Територіальний центр соціального обслуговування (надання соціальних послуг)»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159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Термін реалізації Програми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</w:t>
            </w:r>
            <w:r>
              <w:rPr>
                <w:rFonts w:eastAsia="Times New Roman"/>
                <w:sz w:val="28"/>
                <w:szCs w:val="28"/>
              </w:rPr>
              <w:t xml:space="preserve">2</w:t>
            </w:r>
            <w:r>
              <w:rPr>
                <w:rFonts w:eastAsia="Times New Roman"/>
                <w:sz w:val="28"/>
                <w:szCs w:val="28"/>
              </w:rPr>
              <w:t xml:space="preserve">-202</w:t>
            </w:r>
            <w:r>
              <w:rPr>
                <w:rFonts w:eastAsia="Times New Roman"/>
                <w:sz w:val="28"/>
                <w:szCs w:val="28"/>
              </w:rPr>
              <w:t xml:space="preserve">4</w:t>
            </w:r>
            <w:r>
              <w:rPr>
                <w:rFonts w:eastAsia="Times New Roman"/>
                <w:sz w:val="28"/>
                <w:szCs w:val="28"/>
              </w:rPr>
              <w:t xml:space="preserve"> роки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Перелік бюджетів, які беруть участь у виконанні програми (для комплексних програм)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Державний бюджет, місцевий бюджет та кошти інших джерел, не заборонених законодавством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3440000</w:t>
            </w:r>
            <w:r>
              <w:rPr>
                <w:rFonts w:eastAsia="Times New Roman"/>
                <w:sz w:val="28"/>
                <w:szCs w:val="28"/>
              </w:rPr>
              <w:t xml:space="preserve">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9.1.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міського бюджету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 xml:space="preserve">420</w:t>
            </w:r>
            <w:r>
              <w:rPr>
                <w:rFonts w:eastAsia="Times New Roman"/>
                <w:sz w:val="28"/>
                <w:szCs w:val="28"/>
              </w:rPr>
              <w:t xml:space="preserve"> 000,00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9.2.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інших джерел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20 000,00 грн.</w:t>
            </w:r>
            <w:r>
              <w:rPr>
                <w:rFonts w:eastAsia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77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9.3.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877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кошти Державного бюджету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vMerge w:val="restart"/>
            <w:textDirection w:val="lrTb"/>
            <w:noWrap w:val="false"/>
          </w:tcPr>
          <w:p>
            <w:pPr>
              <w:pStyle w:val="87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2 000 000,00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872"/>
        <w:numPr>
          <w:ilvl w:val="0"/>
          <w:numId w:val="4"/>
        </w:num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Визначення проблеми, 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якої спрямована Програма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Показник розвиненого суспільства - це рівень уваги і соціального захисту найслабших верств населення (дітей, людей похилого віку, людей з обмеженими можливостями). Саме люди з обмеженими фізичними можливостями потребують особливої уваги органів вла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ди. Мається на увазі створення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безбар’єрного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середовища, яке дозволить особам з інвалідністю отри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мати вільний доступ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життєво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необхідних об’єктів, таких як власна квартира, будинок, лікарня, будівлі органів влади,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тощо. Обладнання відповідних будівель спеціальними пандусами і підйомниками – це справа і обов’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язок тих, хто надає всі зазначені послуги. Ця робота, хоч і не на достатньому рівні, але проводиться на території громади. Проте зовсім не вирішено питання, яким же чином людина, яка пересувається на інвалідному візку, може пересуватися громадою, дістатись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найвіддаленіших сіл до міста.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даного проекту є створення на території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соціальної послуги з організації перевезень осіб з інвалідністю в умовах існуючого законодавчого поля України на базі 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Інтеграція людей з особливими потребами до суспільства не може бути повноцінною без забезпечення таких людей спеціальними транспортними засобами, надання безперешкодної можливості доступу до відвідання навчальних закладів,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тримання повного спектру соціальних, медичних та побутових послуг, участі в громадському та культурному житті країни. Проблема забезпечення транспортом осіб з інвалідністю частково вирішується за рахунок безкоштовного надання їм автомобілів. Але кількість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безкоштовнo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наданих автомобілів є досить обмеженою, і не задовольняє потреби цільової групи у повному обсязі. Так, за даними статистики, щорічно державою забезпечується надання безкоштовних автомобілів для 0,6% від загальної кількості людей, що мають таку потребу.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Менської міської ради звернулось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48 осіб з інвалідністю, що проживають на території Менської міської територіальної громади, які не здатні самостійно пересуватися, з них 14 батьків дітей з захворюванням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опорно-рухового апарату, решта - дорослі особи з інвалідністю, що пересуваються на інвалідних візках, особи з захворюваннями опорно-рухового апарату та інші особи, які відносяться до категорії маломобільних груп населення.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Програми «Служба перевезення «Соціальне таксі» Менської міської ради (далі - Програма) в Менській міській територіальній громаді є нагальною необхідністю на сьог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можливостями як на державному, так і на місцевому рівнях. Коли людина, в силу різних причин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життєвих обставин, отримує обмеження в фізичних можливостях, то відбувається найбільш значуща зміна її соціального статусу. Пристосування до нових умов проживання є дуже болючим та проблематичним. Прийняття даної Програми розглядається як пріоритетний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напрямок у соціальній адаптації та підтримці кожної особи з захворюванням опорно-рухового апарату та інших 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Менській територіальній громаді відсутні спеціалізовані транспорт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служби для перевезення осіб з обмеженими фізичними можливостями та інших маломобільних груп населення. Розв’яза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проблеми мобільності даної категорії громадян пропонується вирішити шляхом прийняття Програми. При наданні транспортних послуг створюються нові перспективи для осіб з обмеженими фізичними можливостями для повноцінної соціальної інтеграції в суспільство.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 «Соціальне таксі» зможе задовольнити потребу частини жителів територіальної громади з обмеженими фізичними можливостями на вільне та зручне пересування спеціалізованим автомобільним транспортом для вирішення різних нагальних потреб.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851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Визначення мети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впровадження нової форми роботи, спрямованої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підвищення активності та спілкування людей з обмеженими фізичними можливостями приймається Програма «Служба перевезення «Соціальне таксі» для перевезення на пільгових умовах людей з обмеженими фізичними можливостями та інших маломобільних верств населення.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Основні завдання: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використовувати спеціалізований автотранспорт з підйомником (підйомна площадка), пристосованим для перевезення осіб з обмеженими фізичними можливостями;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7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збільшити кількість послуг та покращити якість їх надання Комунальною установою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72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Обґрунтування шляхів і засобів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підро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зділом Комунальної установи «Менський міський центр соціальних служб» Менської міської ради буде надаватися послуга по перевезенню дітей з інвалідністю, осіб з інвалідністю, які мають порушення опорно-рухового апарату та інших 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Послуга надається мікроавтобусом з підйомником (підйомною площадкою), який пристосований та призначений для перевезення осіб з обмеженими фізичними можливостями.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Обсяг коштів Програми та джерела її фінансування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3440000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,00грн.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Джерела фінансування- кошти  бюджету міської територіальної громади та інших джерел, не заборон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Фінансування програми здійснюватиметься за рахунок коштів бюджету територіальної громади виходячи з його фінансових можливостей.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Строки та етапи виконання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 «Служба перевезення «Соціальне таксі» Менської міської ради розрахована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роки.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Очікувані результати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Реалізація даної Програми забезпечить умови для 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оперативного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вирішення проблем,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пересуванням осіб з обмеженими фізичними можливостями та інших маломобільних груп населення.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60" w:firstLine="34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Заходи 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 таксі» 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9935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884"/>
        <w:gridCol w:w="1241"/>
        <w:gridCol w:w="3719"/>
        <w:gridCol w:w="1539"/>
      </w:tblGrid>
      <w:tr>
        <w:trPr>
          <w:trHeight w:val="937"/>
        </w:trPr>
        <w:tc>
          <w:tcPr>
            <w:tcW w:w="5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№</w:t>
            </w:r>
            <w:r>
              <w:rPr>
                <w:b/>
              </w:rPr>
            </w:r>
            <w:r/>
          </w:p>
        </w:tc>
        <w:tc>
          <w:tcPr>
            <w:tcW w:w="28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Перелік заходів</w:t>
            </w:r>
            <w:r>
              <w:rPr>
                <w:b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Строки виконання</w:t>
            </w:r>
            <w:r>
              <w:rPr>
                <w:b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Джерела фінансування</w:t>
            </w:r>
            <w:r>
              <w:rPr>
                <w:b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Орієнтовні обсяги фінансування (вартість) грн.</w:t>
            </w:r>
            <w:r>
              <w:rPr>
                <w:b/>
              </w:rPr>
            </w:r>
            <w:r/>
          </w:p>
        </w:tc>
      </w:tr>
      <w:tr>
        <w:trPr>
          <w:trHeight w:val="699"/>
        </w:trPr>
        <w:tc>
          <w:tcPr>
            <w:tcW w:w="5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28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Придбання спеціально обладнаного автомобіля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90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288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Оплата праці персоналу</w:t>
            </w: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60000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28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270000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12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290000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44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288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Утримання та експлуатація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спецавтомобіля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43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60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36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99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283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2884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Фінансування інших видатків (утримання гаражного приміщення, реклама та оголошення, послуги зв'язку, облаштування робочого місця, тощо)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64000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4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trHeight w:val="525"/>
        </w:trPr>
        <w:tc>
          <w:tcPr>
            <w:gridSpan w:val="4"/>
            <w:tcW w:w="83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  <w:lang w:val="uk-UA"/>
              </w:rPr>
              <w:t xml:space="preserve">В С Ь О Г О:</w:t>
            </w:r>
            <w:r>
              <w:rPr>
                <w:b/>
              </w:rPr>
            </w:r>
            <w:r/>
          </w:p>
        </w:tc>
        <w:tc>
          <w:tcPr>
            <w:tcW w:w="153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3440000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Координація та контроль за ходом виконання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Координація діяльності з вико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нання Програми покладається на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ідділ  соціального захисту населення, сім’ї, молоді та охрони здоров’я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Конкретний механізм фінансування визначається фінансовим управлінням міської ради за умови ефективного використання бюджетних коштів.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здоров’я міської ради 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right"/>
      <w:rPr>
        <w:rFonts w:ascii="Times New Roman" w:hAnsi="Times New Roman" w:cs="Times New Roman" w:eastAsia="Times New Roman"/>
        <w:i/>
        <w:sz w:val="24"/>
        <w:highlight w:val="none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692">
    <w:name w:val="Heading 1"/>
    <w:basedOn w:val="868"/>
    <w:next w:val="86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basedOn w:val="869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8"/>
    <w:next w:val="86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9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8"/>
    <w:next w:val="86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8"/>
    <w:next w:val="86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8"/>
    <w:next w:val="8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8"/>
    <w:next w:val="868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8"/>
    <w:next w:val="868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8"/>
    <w:next w:val="86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8"/>
    <w:next w:val="86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 w:before="0"/>
    </w:pPr>
  </w:style>
  <w:style w:type="paragraph" w:styleId="711">
    <w:name w:val="Title"/>
    <w:basedOn w:val="868"/>
    <w:next w:val="868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69"/>
    <w:link w:val="711"/>
    <w:uiPriority w:val="10"/>
    <w:rPr>
      <w:sz w:val="48"/>
      <w:szCs w:val="48"/>
    </w:rPr>
  </w:style>
  <w:style w:type="paragraph" w:styleId="713">
    <w:name w:val="Subtitle"/>
    <w:basedOn w:val="868"/>
    <w:next w:val="868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69"/>
    <w:link w:val="713"/>
    <w:uiPriority w:val="11"/>
    <w:rPr>
      <w:sz w:val="24"/>
      <w:szCs w:val="24"/>
    </w:rPr>
  </w:style>
  <w:style w:type="paragraph" w:styleId="715">
    <w:name w:val="Quote"/>
    <w:basedOn w:val="868"/>
    <w:next w:val="868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8"/>
    <w:next w:val="868"/>
    <w:link w:val="718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paragraph" w:styleId="719">
    <w:name w:val="Header"/>
    <w:basedOn w:val="868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Header Char"/>
    <w:basedOn w:val="869"/>
    <w:link w:val="719"/>
    <w:uiPriority w:val="99"/>
  </w:style>
  <w:style w:type="paragraph" w:styleId="721">
    <w:name w:val="Footer"/>
    <w:basedOn w:val="868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>
    <w:name w:val="Footer Char"/>
    <w:basedOn w:val="869"/>
    <w:link w:val="721"/>
    <w:uiPriority w:val="99"/>
  </w:style>
  <w:style w:type="paragraph" w:styleId="723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721"/>
    <w:uiPriority w:val="99"/>
  </w:style>
  <w:style w:type="table" w:styleId="725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0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1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2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3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4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5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6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7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8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9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0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8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9"/>
    <w:uiPriority w:val="99"/>
    <w:unhideWhenUsed/>
    <w:rPr>
      <w:vertAlign w:val="superscript"/>
    </w:rPr>
  </w:style>
  <w:style w:type="paragraph" w:styleId="855">
    <w:name w:val="endnote text"/>
    <w:basedOn w:val="868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69"/>
    <w:uiPriority w:val="99"/>
    <w:semiHidden/>
    <w:unhideWhenUsed/>
    <w:rPr>
      <w:vertAlign w:val="superscript"/>
    </w:rPr>
  </w:style>
  <w:style w:type="paragraph" w:styleId="858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List Paragraph"/>
    <w:basedOn w:val="868"/>
    <w:rPr>
      <w:rFonts w:ascii="Calibri" w:hAnsi="Calibri" w:cs="Calibri" w:eastAsia="SimSu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3">
    <w:name w:val="Normal (Web)"/>
    <w:basedOn w:val="868"/>
    <w:semiHidden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customStyle="1">
    <w:name w:val="docdata"/>
    <w:basedOn w:val="869"/>
  </w:style>
  <w:style w:type="character" w:styleId="875" w:customStyle="1">
    <w:name w:val="Основной текст (4) + Times New Roman;14 pt"/>
    <w:basedOn w:val="869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paragraph" w:styleId="876" w:customStyle="1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7" w:customStyle="1">
    <w:name w:val="Standard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СТАРОДУБ Людмила Олександрівна</cp:lastModifiedBy>
  <cp:revision>10</cp:revision>
  <dcterms:created xsi:type="dcterms:W3CDTF">2021-08-20T16:06:00Z</dcterms:created>
  <dcterms:modified xsi:type="dcterms:W3CDTF">2021-11-26T11:09:09Z</dcterms:modified>
</cp:coreProperties>
</file>