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340"/>
        <w:spacing w:lineRule="auto" w:line="240" w:after="0" w:afterAutospacing="0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bCs/>
          <w:iCs/>
          <w:sz w:val="28"/>
          <w:szCs w:val="20"/>
        </w:rPr>
        <w:t xml:space="preserve">  </w:t>
      </w:r>
      <w:r/>
    </w:p>
    <w:p>
      <w:pPr>
        <w:ind w:left="11340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Комплексної Програми підтримки сім’ї, запобігання домашньому насильству, гендерної рівності та протидії торгівлі людьми у Менській міській територіальній громаді на період 2022 - 202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11340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</w:t>
      </w:r>
      <w:r>
        <w:rPr>
          <w:rFonts w:ascii="Times New Roman" w:hAnsi="Times New Roman" w:cs="Times New Roman"/>
          <w:sz w:val="28"/>
          <w:szCs w:val="28"/>
        </w:rPr>
        <w:t xml:space="preserve"> та заходи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сім’ї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запобіганню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насильству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гендерної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рівності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протидії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торгівлі</w:t>
      </w:r>
      <w:r>
        <w:rPr>
          <w:rFonts w:ascii="Times New Roman" w:hAnsi="Times New Roman" w:cs="Times New Roman"/>
          <w:sz w:val="28"/>
          <w:szCs w:val="28"/>
        </w:rPr>
        <w:t xml:space="preserve"> людьми на </w:t>
      </w:r>
      <w:r>
        <w:rPr>
          <w:rFonts w:ascii="Times New Roman" w:hAnsi="Times New Roman" w:cs="Times New Roman"/>
          <w:sz w:val="28"/>
          <w:szCs w:val="28"/>
        </w:rPr>
        <w:t xml:space="preserve">2022-</w:t>
      </w:r>
      <w:r>
        <w:rPr>
          <w:rFonts w:ascii="Times New Roman" w:hAnsi="Times New Roman" w:cs="Times New Roman"/>
          <w:sz w:val="28"/>
          <w:szCs w:val="28"/>
        </w:rPr>
        <w:t xml:space="preserve">2024 роки</w:t>
      </w:r>
      <w:r/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591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3"/>
        <w:gridCol w:w="1134"/>
        <w:gridCol w:w="5385"/>
        <w:gridCol w:w="1134"/>
        <w:gridCol w:w="1134"/>
        <w:gridCol w:w="709"/>
        <w:gridCol w:w="709"/>
        <w:gridCol w:w="788"/>
      </w:tblGrid>
      <w:tr>
        <w:trPr>
          <w:cantSplit/>
        </w:trPr>
        <w:tc>
          <w:tcPr>
            <w:tcW w:w="533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4393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роки</w:t>
            </w:r>
            <w:r/>
          </w:p>
        </w:tc>
        <w:tc>
          <w:tcPr>
            <w:tcW w:w="5385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</w:t>
            </w:r>
            <w:r/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3"/>
            <w:tcW w:w="2206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>
          <w:cantSplit/>
          <w:trHeight w:val="160"/>
        </w:trPr>
        <w:tc>
          <w:tcPr>
            <w:tcW w:w="533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4393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5385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78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</w:t>
            </w:r>
            <w:r/>
          </w:p>
        </w:tc>
      </w:tr>
      <w:tr>
        <w:trPr/>
        <w:tc>
          <w:tcPr>
            <w:gridSpan w:val="9"/>
            <w:tcW w:w="15919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shd w:val="nil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ідтримка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сім’ї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Запобігання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домашньому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насильству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опинились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обставинах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Служба у справах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tabs>
                <w:tab w:val="left" w:pos="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ідрозділами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Служба у справах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Головного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управління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в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Чернігівській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ідтримка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Всеукраїнської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акції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днів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інформаційно-просвітницьких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спрямованих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нетерпимого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суспільстві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всіх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проявів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мотивування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потерпілих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звертатися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допомогою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Головного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управління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в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Чернігівській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.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right="-168"/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заходів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спрямованих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популяризацію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сімейних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відродження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Міжнародного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сім’ї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батька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pStyle w:val="868"/>
              <w:ind w:left="2" w:right="-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gridSpan w:val="4"/>
            <w:tcW w:w="11445" w:type="dxa"/>
            <w:vAlign w:val="center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</w:t>
            </w:r>
            <w:r/>
          </w:p>
        </w:tc>
      </w:tr>
      <w:tr>
        <w:trPr/>
        <w:tc>
          <w:tcPr>
            <w:gridSpan w:val="9"/>
            <w:tcW w:w="15919" w:type="dxa"/>
            <w:textDirection w:val="lrTb"/>
            <w:noWrap/>
          </w:tcPr>
          <w:p>
            <w:pPr>
              <w:spacing w:lineRule="auto" w:line="240"/>
              <w:tabs>
                <w:tab w:val="left" w:pos="6270" w:leader="none"/>
                <w:tab w:val="center" w:pos="7851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гендерної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івності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року»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тренінгових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жіночого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лідерства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Запровадити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засобах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1445" w:type="dxa"/>
            <w:vAlign w:val="center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</w:t>
            </w:r>
            <w:r/>
          </w:p>
        </w:tc>
      </w:tr>
      <w:tr>
        <w:trPr/>
        <w:tc>
          <w:tcPr>
            <w:gridSpan w:val="9"/>
            <w:tcW w:w="1591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Протидія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людьми.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координаційної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поширення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інформаційної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протидії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торгі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людьми,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спрямованої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потраплянню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ситуації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пов’язані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торгівлею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людьми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/>
              <w:rPr>
                <w:rStyle w:val="8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Проведення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інформаційно-роз’яснювальної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протидії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торгі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вл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серед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вразливих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верств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населення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ради, Служба у справах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Виявлення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осіб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постраждалих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внаслідок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торгі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вл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Style w:val="871"/>
                <w:rFonts w:ascii="Times New Roman" w:hAnsi="Times New Roman" w:cs="Times New Roman"/>
                <w:sz w:val="24"/>
                <w:szCs w:val="24"/>
              </w:rPr>
              <w:t xml:space="preserve"> людьми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Головного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управління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в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Чернігівській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.</w:t>
            </w:r>
            <w:r>
              <w:rPr>
                <w:rStyle w:val="870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pStyle w:val="866"/>
              <w:ind w:left="-104" w:right="-104"/>
              <w:jc w:val="both"/>
              <w:tabs>
                <w:tab w:val="clear" w:pos="916" w:leader="none"/>
                <w:tab w:val="left" w:pos="1704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консультацій  особам постраждалим від торгівлі людьми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vAlign w:val="center"/>
            <w:textDirection w:val="lrTb"/>
            <w:noWrap/>
          </w:tcPr>
          <w:p>
            <w:pPr>
              <w:jc w:val="both"/>
              <w:spacing w:lineRule="auto" w:line="240"/>
              <w:rPr>
                <w:rStyle w:val="8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7"/>
              <w:jc w:val="both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ідтримка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благодійних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людьми 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5385" w:type="dxa"/>
            <w:textDirection w:val="lrTb"/>
            <w:noWrap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сімʼї,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молоді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здоровʼя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1445" w:type="dxa"/>
            <w:vAlign w:val="center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</w:tr>
      <w:tr>
        <w:trPr/>
        <w:tc>
          <w:tcPr>
            <w:gridSpan w:val="4"/>
            <w:tcW w:w="11445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Програмою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44,0</w:t>
            </w:r>
            <w:r/>
          </w:p>
        </w:tc>
      </w:tr>
    </w:tbl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                      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568" w:right="567" w:bottom="851" w:left="567" w:header="709" w:footer="709" w:gutter="0"/>
      <w:pgNumType w:start="9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2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  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712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basedOn w:val="863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3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3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3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qFormat/>
    <w:uiPriority w:val="1"/>
    <w:pPr>
      <w:spacing w:lineRule="auto" w:line="240" w:after="0" w:before="0"/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HTML Preformatted"/>
    <w:basedOn w:val="862"/>
    <w:link w:val="867"/>
    <w:rPr>
      <w:rFonts w:ascii="Courier New" w:hAnsi="Courier New" w:cs="Times New Roman" w:eastAsia="Times New Roman"/>
      <w:color w:val="000000"/>
      <w:sz w:val="19"/>
      <w:szCs w:val="19"/>
      <w:lang w:val="uk-UA" w:bidi="en-US" w:eastAsia="en-US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customStyle="1">
    <w:name w:val="Стандартный HTML Знак"/>
    <w:basedOn w:val="863"/>
    <w:link w:val="866"/>
    <w:rPr>
      <w:rFonts w:ascii="Courier New" w:hAnsi="Courier New" w:cs="Times New Roman" w:eastAsia="Times New Roman"/>
      <w:color w:val="000000"/>
      <w:sz w:val="19"/>
      <w:szCs w:val="19"/>
      <w:shd w:val="nil"/>
      <w:lang w:val="uk-UA" w:bidi="en-US" w:eastAsia="en-US"/>
    </w:rPr>
  </w:style>
  <w:style w:type="paragraph" w:styleId="868">
    <w:name w:val="Body Text"/>
    <w:basedOn w:val="862"/>
    <w:link w:val="869"/>
    <w:rPr>
      <w:rFonts w:ascii="Times New Roman" w:hAnsi="Times New Roman" w:cs="Times New Roman" w:eastAsia="Times New Roman"/>
      <w:sz w:val="20"/>
      <w:lang w:val="uk-UA" w:bidi="en-US" w:eastAsia="en-US"/>
    </w:rPr>
    <w:pPr>
      <w:spacing w:lineRule="auto" w:line="240" w:after="1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 w:customStyle="1">
    <w:name w:val="Основной текст Знак"/>
    <w:basedOn w:val="863"/>
    <w:link w:val="868"/>
    <w:rPr>
      <w:rFonts w:ascii="Times New Roman" w:hAnsi="Times New Roman" w:cs="Times New Roman" w:eastAsia="Times New Roman"/>
      <w:sz w:val="20"/>
      <w:shd w:val="nil"/>
      <w:lang w:val="uk-UA" w:bidi="en-US" w:eastAsia="en-US"/>
    </w:rPr>
  </w:style>
  <w:style w:type="character" w:styleId="870">
    <w:name w:val="Strong"/>
    <w:basedOn w:val="863"/>
    <w:rPr>
      <w:b/>
      <w:bCs/>
    </w:rPr>
  </w:style>
  <w:style w:type="character" w:styleId="871" w:customStyle="1">
    <w:name w:val="rvts82"/>
    <w:basedOn w:val="86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2021-11-04T09:35:00Z</dcterms:created>
  <dcterms:modified xsi:type="dcterms:W3CDTF">2021-11-25T17:28:14Z</dcterms:modified>
</cp:coreProperties>
</file>