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11199"/>
        <w:spacing w:after="0" w:afterAutospacing="0" w:before="0" w:beforeAutospacing="0"/>
      </w:pP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  <w:t xml:space="preserve">  1</w:t>
      </w:r>
      <w:r/>
    </w:p>
    <w:p>
      <w:pPr>
        <w:pStyle w:val="817"/>
        <w:ind w:left="11199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«Молодь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2022 - 2024 роки</w:t>
      </w:r>
      <w:r/>
      <w:r>
        <w:rPr>
          <w:sz w:val="28"/>
          <w:szCs w:val="28"/>
        </w:rPr>
      </w:r>
      <w:r/>
    </w:p>
    <w:p>
      <w:pPr>
        <w:pStyle w:val="817"/>
        <w:ind w:left="11199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tbl>
      <w:tblPr>
        <w:tblStyle w:val="818"/>
        <w:tblW w:w="15638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820"/>
        <w:gridCol w:w="1417"/>
        <w:gridCol w:w="1843"/>
        <w:gridCol w:w="851"/>
        <w:gridCol w:w="708"/>
        <w:gridCol w:w="709"/>
        <w:gridCol w:w="646"/>
      </w:tblGrid>
      <w:tr>
        <w:trPr>
          <w:trHeight w:val="495"/>
        </w:trPr>
        <w:tc>
          <w:tcPr>
            <w:tcW w:w="3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з/п</w:t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Зміст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заходу</w:t>
            </w:r>
            <w:r/>
          </w:p>
        </w:tc>
        <w:tc>
          <w:tcPr>
            <w:tcW w:w="482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Виконавці</w:t>
            </w:r>
            <w:r/>
          </w:p>
        </w:tc>
        <w:tc>
          <w:tcPr>
            <w:tcW w:w="1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Термін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виконання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Джерела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фінансування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Обсяги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фінансування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тис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грн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.)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206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У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тому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числі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за роками</w:t>
            </w:r>
            <w:r/>
          </w:p>
        </w:tc>
      </w:tr>
      <w:tr>
        <w:trPr>
          <w:trHeight w:val="424"/>
        </w:trPr>
        <w:tc>
          <w:tcPr>
            <w:tcW w:w="3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W w:w="425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W w:w="482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64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4</w:t>
            </w:r>
            <w:r/>
          </w:p>
        </w:tc>
      </w:tr>
      <w:tr>
        <w:trPr>
          <w:trHeight w:val="269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</w:t>
            </w:r>
            <w:r>
              <w:rPr>
                <w:rFonts w:ascii="Times New Roman" w:hAnsi="Times New Roman"/>
                <w:lang w:val="ru-RU"/>
              </w:rPr>
              <w:t xml:space="preserve">ідтримка</w:t>
            </w:r>
            <w:r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 xml:space="preserve">розвиток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молодіжної</w:t>
            </w:r>
            <w:r>
              <w:rPr>
                <w:rFonts w:ascii="Times New Roman" w:hAnsi="Times New Roman"/>
                <w:lang w:val="ru-RU"/>
              </w:rPr>
              <w:t xml:space="preserve"> ради та </w:t>
            </w:r>
            <w:r>
              <w:rPr>
                <w:rFonts w:ascii="Times New Roman" w:hAnsi="Times New Roman"/>
                <w:lang w:val="ru-RU"/>
              </w:rPr>
              <w:t xml:space="preserve">інших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дитячих</w:t>
            </w:r>
            <w:r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 xml:space="preserve">молодіжних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об’єднань</w:t>
            </w:r>
            <w:r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 xml:space="preserve">території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громади (створ</w:t>
            </w:r>
            <w:r>
              <w:rPr>
                <w:rFonts w:ascii="Times New Roman" w:hAnsi="Times New Roman"/>
                <w:lang w:val="ru-RU"/>
              </w:rPr>
              <w:t xml:space="preserve">ення Молодіжної ради відповідно до чинного Положення, забезпечення її діяльності шляхом створення належних умов для проведення засідань та інших заходів, матеріально-технічне забезпечення діяльності МР, підтримка інших молодіжних та дитячих формувань тощо)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240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70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80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90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Конкурс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дитячих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молодіжних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ініціатив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Положення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про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проведення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конкурсу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додаток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2 до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Програми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780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lang w:val="uk-UA"/>
              </w:rPr>
              <w:t xml:space="preserve">40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lang w:val="uk-UA"/>
              </w:rPr>
              <w:t xml:space="preserve">60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280,0</w:t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Організація</w:t>
            </w:r>
            <w:r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 xml:space="preserve">проведення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акцій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форумів</w:t>
            </w:r>
            <w:r>
              <w:rPr>
                <w:rFonts w:ascii="Times New Roman" w:hAnsi="Times New Roman"/>
                <w:lang w:val="ru-RU"/>
              </w:rPr>
              <w:t xml:space="preserve">, свят, </w:t>
            </w:r>
            <w:r>
              <w:rPr>
                <w:rFonts w:ascii="Times New Roman" w:hAnsi="Times New Roman"/>
                <w:lang w:val="ru-RU"/>
              </w:rPr>
              <w:t xml:space="preserve">семінарів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тренінгі</w:t>
            </w:r>
            <w:r>
              <w:rPr>
                <w:rFonts w:ascii="Times New Roman" w:hAnsi="Times New Roman"/>
                <w:lang w:val="ru-RU"/>
              </w:rPr>
              <w:t xml:space="preserve">в</w:t>
            </w:r>
            <w:r>
              <w:rPr>
                <w:rFonts w:ascii="Times New Roman" w:hAnsi="Times New Roman"/>
                <w:lang w:val="ru-RU"/>
              </w:rPr>
              <w:t xml:space="preserve">, ярмарок, </w:t>
            </w:r>
            <w:r>
              <w:rPr>
                <w:rFonts w:ascii="Times New Roman" w:hAnsi="Times New Roman"/>
                <w:lang w:val="ru-RU"/>
              </w:rPr>
              <w:t xml:space="preserve">обговорень</w:t>
            </w:r>
            <w:r>
              <w:rPr>
                <w:rFonts w:ascii="Times New Roman" w:hAnsi="Times New Roman"/>
                <w:lang w:val="ru-RU"/>
              </w:rPr>
              <w:t xml:space="preserve"> за круглим столом.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культури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lang w:val="ru-RU"/>
              </w:rPr>
              <w:t xml:space="preserve"> ради, </w:t>
            </w:r>
            <w:r>
              <w:rPr>
                <w:rFonts w:ascii="Times New Roman" w:hAnsi="Times New Roman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lang w:val="ru-RU"/>
              </w:rPr>
              <w:t xml:space="preserve"> ради 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uk-UA"/>
              </w:rPr>
              <w:t xml:space="preserve">65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50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55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60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Сприяти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залученню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активної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lang w:val="ru-RU"/>
              </w:rPr>
              <w:t xml:space="preserve"> до </w:t>
            </w:r>
            <w:r>
              <w:rPr>
                <w:rFonts w:ascii="Times New Roman" w:hAnsi="Times New Roman"/>
                <w:lang w:val="ru-RU"/>
              </w:rPr>
              <w:t xml:space="preserve">вирішення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питань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розвитку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громади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Організація</w:t>
            </w:r>
            <w:r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 xml:space="preserve">проведення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навчальних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обмінних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візитів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молодіжними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формуваннями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України</w:t>
            </w:r>
            <w:r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 xml:space="preserve">Європи (придбання сувенірної продукції, транспортні послуги, організація харчування та інше).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lang w:val="ru-RU"/>
              </w:rPr>
              <w:t xml:space="preserve"> 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240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70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80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90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Виготовлення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сувенірної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поліграфічної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продукції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фото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відео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матеріалів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молодіжної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ради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180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50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60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70</w:t>
            </w:r>
            <w:r>
              <w:rPr>
                <w:rFonts w:ascii="Times New Roman" w:hAnsi="Times New Roman"/>
              </w:rPr>
              <w:t xml:space="preserve">,0</w:t>
            </w:r>
            <w:r/>
          </w:p>
        </w:tc>
      </w:tr>
      <w:tr>
        <w:trPr>
          <w:trHeight w:val="285"/>
        </w:trPr>
        <w:tc>
          <w:tcPr>
            <w:tcW w:w="392" w:type="dxa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Постійне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висвітлення</w:t>
            </w:r>
            <w:r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</w:rPr>
              <w:t xml:space="preserve">засобах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масової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інформації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інтернет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ресурсах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соціальних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мережах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інформації</w:t>
            </w:r>
            <w:r>
              <w:rPr>
                <w:rFonts w:ascii="Times New Roman" w:hAnsi="Times New Roman"/>
                <w:lang w:val="uk-UA"/>
              </w:rPr>
              <w:t xml:space="preserve">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що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стосується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державної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молодіжної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політики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</w:t>
            </w:r>
            <w:r>
              <w:rPr>
                <w:rFonts w:ascii="Times New Roman" w:hAnsi="Times New Roman"/>
                <w:color w:val="000000"/>
              </w:rPr>
              <w:t xml:space="preserve">’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ї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</w:t>
            </w:r>
            <w:r>
              <w:rPr>
                <w:rFonts w:ascii="Times New Roman" w:hAnsi="Times New Roman"/>
                <w:color w:val="000000"/>
              </w:rPr>
              <w:t xml:space="preserve">’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ради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Відділ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організаційної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інформаційного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забезпечення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Менської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міської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ради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5"/>
        </w:trPr>
        <w:tc>
          <w:tcPr>
            <w:tcW w:w="392" w:type="dxa"/>
            <w:vMerge w:val="restart"/>
            <w:textDirection w:val="lrTb"/>
            <w:noWrap/>
          </w:tcPr>
          <w:p>
            <w:pPr>
              <w:pStyle w:val="81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Підтримка функціонування Школи «Молодого посадовця» (придбання канцелярських товарів, транспортні послуги, виготовлення свідоцтв  тощо)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4820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соц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іального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захисту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сім’ї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молоді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охорони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здоров’я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Відділ освіти Менської міської ради, структурні підрозділи міської ради, старостати.</w:t>
            </w:r>
            <w:r>
              <w:rPr>
                <w:rFonts w:ascii="Times New Roman" w:hAnsi="Times New Roman"/>
                <w:color w:val="000000"/>
                <w:lang w:val="ru-RU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</w:rPr>
              <w:t xml:space="preserve">-202</w:t>
            </w: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64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5"/>
        </w:trPr>
        <w:tc>
          <w:tcPr>
            <w:gridSpan w:val="4"/>
            <w:tcW w:w="10881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Місцевий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  <w:lang w:val="uk-UA"/>
              </w:rPr>
              <w:t xml:space="preserve">710</w:t>
            </w:r>
            <w:r>
              <w:rPr>
                <w:rFonts w:ascii="Times New Roman" w:hAnsi="Times New Roman"/>
                <w:b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8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510</w:t>
            </w:r>
            <w:r>
              <w:rPr>
                <w:rFonts w:ascii="Times New Roman" w:hAnsi="Times New Roman"/>
                <w:b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570</w:t>
            </w:r>
            <w:r>
              <w:rPr>
                <w:rFonts w:ascii="Times New Roman" w:hAnsi="Times New Roman"/>
                <w:b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630,0</w:t>
            </w:r>
            <w:r/>
          </w:p>
        </w:tc>
      </w:tr>
    </w:tbl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                    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1134" w:header="708" w:footer="708" w:gutter="0"/>
      <w:pgNumType w:start="6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             </w:t>
    </w:r>
    <w:fldSimple w:instr="PAGE \* MERGEFORMAT">
      <w:r>
        <w:t xml:space="preserve">1</w:t>
      </w:r>
    </w:fldSimple>
    <w:r/>
    <w:r>
      <w:t xml:space="preserve">                        </w:t>
    </w:r>
    <w:r>
      <w:rPr>
        <w:rFonts w:ascii="Times New Roman" w:hAnsi="Times New Roman" w:cs="Times New Roman" w:eastAsia="Times New Roman"/>
      </w:rPr>
      <w:t xml:space="preserve">      продовження додатка</w:t>
    </w:r>
    <w:r>
      <w:rPr>
        <w:rFonts w:ascii="Times New Roman" w:hAnsi="Times New Roman" w:cs="Times New Roman" w:eastAsia="Times New Roman"/>
      </w:rPr>
    </w:r>
    <w:r>
      <w:t xml:space="preserve">       </w:t>
    </w:r>
  </w:p>
  <w:p>
    <w:pPr>
      <w:pStyle w:val="66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18">
    <w:name w:val="Table Grid"/>
    <w:basedOn w:val="814"/>
    <w:uiPriority w:val="59"/>
    <w:rPr>
      <w:rFonts w:ascii="Calibri" w:hAnsi="Calibri" w:cs="Times New Roman" w:eastAsia="Calibri"/>
      <w:lang w:val="en-US" w:bidi="en-US" w:eastAsia="en-US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List Paragraph"/>
    <w:basedOn w:val="8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2021-11-15T07:29:00Z</dcterms:created>
  <dcterms:modified xsi:type="dcterms:W3CDTF">2021-11-25T17:14:22Z</dcterms:modified>
</cp:coreProperties>
</file>