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contextualSpacing w:val="true"/>
        <w:ind w:left="5669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871"/>
        <w:contextualSpacing w:val="true"/>
        <w:ind w:left="566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 Програми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«Молодь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2022 - 2024 роки</w:t>
      </w:r>
      <w:r/>
      <w:r>
        <w:rPr>
          <w:color w:val="000000"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left"/>
        <w:spacing w:lineRule="auto" w:line="240"/>
        <w:tabs>
          <w:tab w:val="left" w:pos="373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tab/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ПОЛОЖЕННЯ 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ПРОВЕДЕННЯ КОНКУРСУ ДИТЯЧИХ ТА МОЛОДІЖНИХ ІНІ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ІАТИВ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2021 рік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ЗАГАЛЬНІ ПОЛОЖЕННЯ</w:t>
      </w:r>
      <w:r/>
    </w:p>
    <w:p>
      <w:pPr>
        <w:pStyle w:val="86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Дане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роках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Мета конкурсу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дитячих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Конкурс)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ідтримка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руху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потенціалу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талановитих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розв’язання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проблем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створення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сприятливих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передумов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розвитку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партнерських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відносин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владою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молоддю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стимулювання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фінансової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ідтримки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завдань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на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іоритетні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Конкурсу: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Здоровий та безпечний спосіб життя;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Співпраця молоді з виконавчим комітетом Менської міської ради, підтримка молодіжних ініціатив;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Громадянськість та патріотизм;</w:t>
      </w:r>
      <w:r/>
    </w:p>
    <w:p>
      <w:pPr>
        <w:pStyle w:val="86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Творчі ініціативи та сприяння розвитку змістовного дозвілля молоді.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УМОВИ КОНКУРСУ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2.1. До участі у конкурсі запрошуються групи шкільної молоді, молоді, молодіжні громадсь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 організації Менської міської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територіальної громади та інші об’єднання людей віком від 14 до 24 років.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2.2. Для проведення Конкурсу створюється наглядово-експертна комісія у складі 7 осіб: з працівників структурних підрозділів Менської міської ради, Менської молодіжної ради (за умови якщо вони не є учасниками конкурсу) та представників громадськості.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Головою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призначається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заступник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іського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діяльності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виконкому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своїй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діяльності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керується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молодіжної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іншими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документами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Група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подавати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проект,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реалізується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запропонованих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напрямкі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подають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наступні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2.4.1. </w:t>
      </w:r>
      <w:hyperlink r:id="rId14" w:tooltip="http://ukrainka.org/wp-content/uploads/2019/03/Dodatok-1-Zayavka.doc" w:history="1">
        <w:r>
          <w:rPr>
            <w:rStyle w:val="86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заявку (</w:t>
        </w:r>
        <w:r>
          <w:rPr>
            <w:rStyle w:val="86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додаток</w:t>
        </w:r>
        <w:r>
          <w:rPr>
            <w:rStyle w:val="86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1)</w:t>
        </w:r>
      </w:hyperlink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;</w:t>
      </w:r>
      <w:r>
        <w:rPr>
          <w:u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2.4.2. </w:t>
      </w:r>
      <w:r>
        <w:rPr>
          <w:u w:val="none"/>
        </w:rPr>
        <w:fldChar w:fldCharType="begin"/>
      </w:r>
      <w:r>
        <w:rPr>
          <w:u w:val="none"/>
        </w:rPr>
        <w:instrText xml:space="preserve">HYPERLINK "http://ukrainka.org/wp-content/uploads/2019/03/Dodatok-2-Aplikatsijna-forma.doc"</w:instrText>
      </w:r>
      <w:r>
        <w:rPr>
          <w:u w:val="none"/>
        </w:rPr>
        <w:fldChar w:fldCharType="separate"/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аплікаційну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 форму 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з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описом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 та бюджетом проекту (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додаток</w:t>
      </w:r>
      <w:r>
        <w:rPr>
          <w:rStyle w:val="869"/>
          <w:rFonts w:ascii="Times New Roman" w:hAnsi="Times New Roman"/>
          <w:color w:val="000000" w:themeColor="text1"/>
          <w:sz w:val="28"/>
          <w:szCs w:val="28"/>
          <w:u w:val="none"/>
        </w:rPr>
        <w:t xml:space="preserve"> 2)</w:t>
      </w:r>
      <w:r>
        <w:rPr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;</w:t>
      </w:r>
      <w:r>
        <w:rPr>
          <w:u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2.4.3.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копії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завірених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печаткою (при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наявності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) та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ідписом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:</w:t>
      </w:r>
      <w:r>
        <w:rPr>
          <w:u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реєстраційних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(для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організацій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);</w:t>
      </w:r>
      <w:r>
        <w:rPr>
          <w:u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– паспорту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керівника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організації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(для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громадських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організацій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);</w:t>
      </w:r>
      <w:r>
        <w:rPr>
          <w:u w:val="none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– паспорту та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ідентифікаційного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коду особи (для </w:t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фізи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осіб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24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Вартість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одного проекту не повинна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перевищувати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50 тис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письмовому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електронному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вигляді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формами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зразка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повинна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спрямована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2.8.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протягом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допускаються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фінансуються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наступних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умов: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Виявлення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недостовірної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Відкликання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конкурсантом проекту;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Надходження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закінчення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обсязі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вимогам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Спрямування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політичну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виборчу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діяльність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прибутку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прямої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матеріальної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допомоги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заробітної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плати,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винагороди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інших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компенсаційних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виплат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учасникам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2.9.8.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Погашення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боргових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зобов’язань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матер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збитку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2.9.9.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Витрачання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придбання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ліцензій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патентів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товарних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знаків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2.9.10.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Придбання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ремонтування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техніки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ініціативних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груп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громадян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відповідають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достовірність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вони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надають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2.10.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окрему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вимогу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можуть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надавати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додаткову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інформацію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наочної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презентації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допускається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демонстраційних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робіт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друкованих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видань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відеопродукції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ПОВНОВАЖЕННЯ І РЕГЛАМЕНТ РОБОТИ НАГЛЯДОВО-ЕКСПЕРТНОЇ КОМІСІЇ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дотримання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Конкурсу.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необхідні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їх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перевірку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допуск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Конкурсу.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контроль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прозорістю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відповідністю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чинному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процедури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виявлення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порушень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знімати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Засідання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правочинним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беруть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більше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половини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затвердженого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персонального складу.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 За результатами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розгляду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комісією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фіксуються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підписуються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головою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випадку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відсутності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заступником.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Рішення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більшістю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кількості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які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брали участь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засіданні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випадку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рівної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кількості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вирішальним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ind w:left="0" w:righ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ГРАФІК ПРОВЕДЕННЯ КОНКУРСУ ТА ВИЗНАЧЕННЯ ПЕРЕМОЖЦІВ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Заявки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подаються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відбувається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окремим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графіком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затвердженим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порядку,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суперечить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відбувається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формою.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Протягом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днів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закінчення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ідбувається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розгляд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комісією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4.5. Конкурс проводиться 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онлайн-голосування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використанням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серві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Google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Приймати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участь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можуть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жителі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об’єднаної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4.7.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Термін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4.8.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ідрахунок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голосів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порушення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умов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недостовірності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наданих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голоси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зараховуються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4.9.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переможців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висвітлюється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ісцевих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засобах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масової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офіційному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сайті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об’єднаної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територіальної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4.10. За результатами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інформує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реалізованих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найближчому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засіданні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ради.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68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ФІНАНСУВАННЯ РЕАЛІЗАЦІЇ ПРОЕКТІВ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Фінансування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визнаних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переможцями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рахунок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коштів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бюджету,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передбачених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 в рамках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«Молодь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-202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роки.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вимог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чинного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Витрати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понесені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конкурсантами 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одержання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коштів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ісля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завершення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оплаті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підлягають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Моніторинг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реалізації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здійснює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наглядово-експертна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spacing w:lineRule="auto" w:line="240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8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</w:t>
    </w:r>
    <w:fldSimple w:instr="PAGE \* MERGEFORMAT">
      <w:r>
        <w:t xml:space="preserve">1</w:t>
      </w:r>
    </w:fldSimple>
    <w:r>
      <w:t xml:space="preserve">             </w:t>
    </w:r>
    <w:r>
      <w:rPr>
        <w:rFonts w:ascii="Times New Roman" w:hAnsi="Times New Roman" w:cs="Times New Roman" w:eastAsia="Times New Roman"/>
      </w:rPr>
      <w:t xml:space="preserve">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715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57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basedOn w:val="865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4"/>
    <w:next w:val="864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basedOn w:val="865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4"/>
    <w:next w:val="864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basedOn w:val="865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 w:before="0"/>
    </w:pPr>
  </w:style>
  <w:style w:type="paragraph" w:styleId="707">
    <w:name w:val="Title"/>
    <w:basedOn w:val="864"/>
    <w:next w:val="864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4"/>
    <w:next w:val="864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4"/>
    <w:next w:val="864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4"/>
    <w:next w:val="864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4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5"/>
    <w:link w:val="715"/>
    <w:uiPriority w:val="99"/>
  </w:style>
  <w:style w:type="paragraph" w:styleId="717">
    <w:name w:val="Footer"/>
    <w:basedOn w:val="864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5"/>
    <w:link w:val="717"/>
    <w:uiPriority w:val="99"/>
  </w:style>
  <w:style w:type="paragraph" w:styleId="719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List Paragraph"/>
    <w:basedOn w:val="864"/>
    <w:qFormat/>
    <w:uiPriority w:val="34"/>
    <w:rPr>
      <w:rFonts w:ascii="Calibri" w:hAnsi="Calibri" w:cs="Times New Roman" w:eastAsia="Calibri"/>
      <w:sz w:val="24"/>
      <w:szCs w:val="24"/>
      <w:lang w:val="uk-UA" w:bidi="en-US" w:eastAsia="en-US"/>
    </w:rPr>
    <w:pPr>
      <w:contextualSpacing w:val="true"/>
      <w:ind w:left="720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>
    <w:name w:val="Hyperlink"/>
    <w:basedOn w:val="865"/>
    <w:uiPriority w:val="99"/>
    <w:semiHidden/>
    <w:unhideWhenUsed/>
    <w:rPr>
      <w:color w:val="0000FF"/>
      <w:u w:val="single"/>
    </w:rPr>
  </w:style>
  <w:style w:type="paragraph" w:styleId="870" w:customStyle="1">
    <w:name w:val="docdata"/>
    <w:basedOn w:val="86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1">
    <w:name w:val="Normal (Web)"/>
    <w:basedOn w:val="86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ukrainka.org/wp-content/uploads/2019/03/Dodatok-1-Zayavka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2021-11-15T08:11:00Z</dcterms:created>
  <dcterms:modified xsi:type="dcterms:W3CDTF">2021-11-25T17:15:04Z</dcterms:modified>
</cp:coreProperties>
</file>