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Додаток </w:t>
      </w:r>
      <w:r/>
    </w:p>
    <w:p>
      <w:pPr>
        <w:ind w:left="566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/>
          <w:color w:val="000000"/>
          <w:sz w:val="28"/>
          <w:lang w:val="ru-RU"/>
        </w:rPr>
        <w:t xml:space="preserve">рішення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виконавчого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комітету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Менської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міської</w:t>
      </w:r>
      <w:r>
        <w:rPr>
          <w:rFonts w:ascii="Times New Roman" w:hAnsi="Times New Roman"/>
          <w:color w:val="000000"/>
          <w:sz w:val="28"/>
          <w:lang w:val="ru-RU"/>
        </w:rPr>
        <w:t xml:space="preserve"> ради </w:t>
      </w:r>
      <w:r/>
    </w:p>
    <w:p>
      <w:pPr>
        <w:ind w:left="5669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23 </w:t>
      </w:r>
      <w:r>
        <w:rPr>
          <w:rFonts w:ascii="Times New Roman" w:hAnsi="Times New Roman"/>
          <w:color w:val="000000"/>
          <w:sz w:val="28"/>
        </w:rPr>
        <w:t xml:space="preserve">листопада</w:t>
      </w:r>
      <w:r>
        <w:rPr>
          <w:rFonts w:ascii="Times New Roman" w:hAnsi="Times New Roman"/>
          <w:color w:val="000000"/>
          <w:sz w:val="28"/>
        </w:rPr>
        <w:t xml:space="preserve"> 2021 </w:t>
      </w:r>
      <w:r>
        <w:rPr>
          <w:rFonts w:ascii="Times New Roman" w:hAnsi="Times New Roman"/>
          <w:color w:val="000000"/>
          <w:sz w:val="28"/>
        </w:rPr>
        <w:t xml:space="preserve">року</w:t>
      </w:r>
      <w:r>
        <w:rPr>
          <w:rFonts w:ascii="Times New Roman" w:hAnsi="Times New Roman"/>
          <w:color w:val="000000"/>
          <w:sz w:val="28"/>
        </w:rPr>
        <w:t xml:space="preserve"> № 329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left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ПРОЄКТ ПРОГРАМИ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Паспорт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  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. Визначення проблеми, на розв’язання якої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спрямована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 Мета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Обґрунтування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шляхів і засобів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розв’язання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проблеми, обсягів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джерел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фінансування, строки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5. Завдання, заходи 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 та результативні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6. Координація та контроль за ходом 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Заходи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роки.</w:t>
            </w:r>
            <w:r/>
          </w:p>
        </w:tc>
      </w:tr>
      <w:tr>
        <w:trPr/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Ресурсне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міської територіальної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роки.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ПАСПОРТ ПРОГРАМИ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>
        <w:trPr>
          <w:trHeight w:val="755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Ініціатор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Дата, номер і назва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розпорядчого документа органу влади про розроблення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23.09.2016 № 406/2016 Указ Президента України «Про Положення про територіальну оборону України»</w:t>
            </w:r>
            <w:r/>
          </w:p>
        </w:tc>
      </w:tr>
      <w:tr>
        <w:trPr>
          <w:trHeight w:val="68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Розробник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1345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Відповідальні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888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Учасники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Термін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Перелік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місцевих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бюджетів, які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беруть участь у виконанні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 територіальної громади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Загальний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фінансових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ресурсів, необхідних для 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Програми, всього: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Коштів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456 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тис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.г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рн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456 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тис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.г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рн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36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Загальна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характеристика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програми</w:t>
      </w:r>
      <w:r/>
    </w:p>
    <w:p>
      <w:pPr>
        <w:ind w:firstLine="900"/>
        <w:jc w:val="both"/>
        <w:rPr>
          <w:rFonts w:ascii="Times New Roman" w:hAnsi="Times New Roman" w:eastAsia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роки (далі - Програма) розроблена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України «Про оборону України»,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«Про Положення про територіальну оборону України»23.09.2016 № 406/2016.</w:t>
      </w:r>
      <w:r/>
    </w:p>
    <w:p>
      <w:pPr>
        <w:pStyle w:val="914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Програмою передбачено виконання заходів територіальної оборони на території населених пунктів Менської міської  територіальної громади.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Визначення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проблеми, на розв’язання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спрямована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Програма</w:t>
      </w:r>
      <w:r/>
    </w:p>
    <w:p>
      <w:pPr>
        <w:pStyle w:val="914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ускладненням ситуації на території Донецької та Луганської областей, можливою загрозою захоплення інших територій України, дій диверсійно-розвідувальних груп щодо дезорганізації критично важливих об’єктів забезпечення життєдіяльн</w:t>
      </w:r>
      <w:r>
        <w:rPr>
          <w:rFonts w:ascii="Times New Roman" w:hAnsi="Times New Roman"/>
          <w:sz w:val="28"/>
          <w:szCs w:val="28"/>
        </w:rPr>
        <w:t xml:space="preserve">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</w:t>
      </w:r>
      <w:r>
        <w:rPr>
          <w:rFonts w:ascii="Times New Roman" w:hAnsi="Times New Roman"/>
          <w:sz w:val="28"/>
          <w:szCs w:val="28"/>
        </w:rPr>
        <w:t xml:space="preserve">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  <w:r/>
    </w:p>
    <w:p>
      <w:pPr>
        <w:pStyle w:val="914"/>
        <w:ind w:firstLine="900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урахуванням зазначеного вище необхідно завчасно у мирний час створити сприятливі умови для вжиття відповідних додаткових заходів щодо удосконалення: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у мирний час формування та розгортання в особливий період (підрозділів) військових частин територіальної оборони;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організації та підтримання у постійній готовності системи управління територіальною обороною в області;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взаємодії органів місцевого самоврядування, правоохоронних органів і органів військового управління при підготовці до виконання та при виконанні завдань територіальної оборони;</w:t>
      </w:r>
      <w:r/>
    </w:p>
    <w:p>
      <w:pPr>
        <w:pStyle w:val="91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Також виникає гостра необхідність щодо удосконалення теоретичної і практичної підготовки особового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підрозділів територіальної оборони до виконання завдань територіальної оборони в особливий період з: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надійного функціонування в умовах особливого періоду органів державної влади, місцевого самоврядування та органів військового управління;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розгортання військ (сил) Збройних Сил України та інших військових формувань;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охорони та оборони важливих об’єктів і комунікацій життєдіяльності в умовах особливого періоду;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заходів правового режиму воєнного стану;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тактичної, тактико-спеціальної, інженерної, вогневої, медичної та психологічної підготовки особового складу під</w:t>
      </w:r>
      <w:r>
        <w:rPr>
          <w:rFonts w:ascii="Times New Roman" w:hAnsi="Times New Roman"/>
          <w:sz w:val="28"/>
          <w:szCs w:val="28"/>
        </w:rPr>
        <w:t xml:space="preserve">розділів територіальної оборони.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/>
      <w:bookmarkStart w:id="1" w:name="78"/>
      <w:r/>
      <w:bookmarkEnd w:id="1"/>
      <w:r/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Мета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875"/>
        <w:ind w:left="0" w:righ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Метою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Програми є здійснення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щодо: підготовки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важливих об’єктів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і комунікацій, органів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влади, органів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самоврядування, боротьби з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диверсійними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та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незаконно створеними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збройними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формуваннями, забезпечення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правового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режиму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воєнного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стану; матеріально-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ехнічного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відмобілізуванні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та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проведенні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занять, тренувань, зборів, а саме: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бази для 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навчальних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зборів з підрозділами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 громади;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захисту, 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харчування, речовим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особового складу та спорядженням, в тому 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зв’язку, індивідуальними комплектами 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мобілізаційного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розгортання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військових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навчально-матеріальної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підрозділів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 оборони, а саме: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обладнання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місць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бойового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злагодження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(занять) з підрозділами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оборони, в тому числі, необхідним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приладдям (інвентарем) для організації занять з тактичної, інженерної та вогневої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підготовок;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придбання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макетів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зброї, мін та ручних гранат, виготовлення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мішеней для 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стрільб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зброї та метання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ручних гранат.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5.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шляхів і засобів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розв’язання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проблеми, обсягів та джерел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фінансування, стр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оки 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передбачає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комплексне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розв’язання проблем матеріально-технічного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оборони, обладнання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формування (місце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зборів з підрозділами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оборони, створення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розгортання та навчально-матеріальної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 складу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оборони),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заційне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заходів з реалізації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міська рада та районний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територіальний центр комплектування та соціальної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підтримки. 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можливість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вимоги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забезпечення та підвищення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готовності  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оборони.</w:t>
      </w:r>
      <w:r/>
    </w:p>
    <w:p>
      <w:pPr>
        <w:ind w:firstLine="720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здійснюється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межах видатків, затверджених на відповідний рік за відповідним напря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ком, виходячи з фінансових можливостей.</w:t>
      </w:r>
      <w:r/>
    </w:p>
    <w:p>
      <w:pPr>
        <w:pStyle w:val="875"/>
        <w:ind w:firstLine="720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Реалізація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відбуватиметься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протягом 202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років. 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Завдання та результативні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показники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передбачається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здійснити ряд завдань та заходів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підготовки до створення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територіальної оборони та їх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забезпечення. 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змогу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забезпечити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особовий склад підрозділів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територіальної оборони необхідними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засобами майна та спорядження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відповідно до існуючих норм згідно з потребами, організацію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розміщення, харчування та підготовки.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Координація та контроль за ходом 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покладається на Менську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міську раду та Менський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районний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підтримки.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міська рада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в/ч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А7333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забезпечують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своєчасне та якісне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Програми, ефективне і цільове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коштів.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>
        <w:rPr>
          <w:rFonts w:ascii="Times New Roman" w:hAnsi="Times New Roman" w:eastAsia="Times New Roman"/>
          <w:sz w:val="28"/>
          <w:szCs w:val="28"/>
          <w:lang w:val="ru-RU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питань діяльності виконавчих </w:t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    Сергій ГАЄВОЙ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Програми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 територіальної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 2022 - 2024 роки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Заходи</w:t>
      </w: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tbl>
      <w:tblPr>
        <w:tblW w:w="14525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0"/>
        <w:gridCol w:w="953"/>
        <w:gridCol w:w="2837"/>
        <w:gridCol w:w="2126"/>
        <w:gridCol w:w="993"/>
        <w:gridCol w:w="992"/>
        <w:gridCol w:w="995"/>
        <w:gridCol w:w="1162"/>
      </w:tblGrid>
      <w:tr>
        <w:trPr>
          <w:trHeight w:val="4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з/п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restart"/>
            <w:textDirection w:val="lrTb"/>
            <w:noWrap/>
          </w:tcPr>
          <w:p>
            <w:pPr>
              <w:ind w:left="-164" w:right="-108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Строк виконання заходів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Виконавці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restart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 фінансування</w:t>
            </w:r>
            <w:r/>
          </w:p>
        </w:tc>
        <w:tc>
          <w:tcPr>
            <w:gridSpan w:val="3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/>
          </w:tcPr>
          <w:p>
            <w:pPr>
              <w:ind w:left="-147" w:right="-108" w:firstLine="147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Орієнтовані обсяги фінансування, тис. грн.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center"/>
            <w:vMerge w:val="restart"/>
            <w:textDirection w:val="lrTb"/>
            <w:noWrap/>
          </w:tcPr>
          <w:p>
            <w:pPr>
              <w:ind w:right="-108" w:hanging="109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27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6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-108" w:hanging="109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right="-108" w:hanging="109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right="-108" w:hanging="109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trHeight w:val="12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еревезення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оборони, військовозобов'язаних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проведенні з ними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зборів, занять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навчань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практичних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дій, полігонів, дислокації, в тому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палива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2 - 2024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Обладнання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бойового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злагодження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, занять з підрозділами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оборони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та придбання матеріальної бази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для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занять з тактичної, інженерної, вогневої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підготовок, тактичної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медицини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Перевезення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військового майна для 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 оборони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pStyle w:val="90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12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pStyle w:val="901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Продовольче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проведенні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зборів (занять) 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навчань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пунктах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постійної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дислокації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польових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умовах. Придбання з цією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метою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супутніх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товарів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господарського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призначення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7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заглибленого пункту управління штабу району територіальної оборони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в/чА733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3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126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125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178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Програми територіальної оборони на території населених пунктів Менської міської  територіальної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 2022 - 2024 роки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Ресурсне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коштів, які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пропонується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залучити на виконання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Усього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витрат на виконання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Програми,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456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 xml:space="preserve">456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9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8"/>
      </w:rPr>
      <w:framePr w:wrap="around"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separate"/>
    </w:r>
    <w:r>
      <w:rPr>
        <w:rStyle w:val="918"/>
      </w:rPr>
      <w:t xml:space="preserve">6</w:t>
    </w:r>
    <w:r>
      <w:rPr>
        <w:rStyle w:val="918"/>
      </w:rPr>
      <w:fldChar w:fldCharType="end"/>
    </w:r>
    <w:r/>
  </w:p>
  <w:p>
    <w:pPr>
      <w:pStyle w:val="9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/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919"/>
    <w:uiPriority w:val="99"/>
  </w:style>
  <w:style w:type="character" w:styleId="713">
    <w:name w:val="Footnote Text Char"/>
    <w:link w:val="863"/>
    <w:uiPriority w:val="99"/>
    <w:rPr>
      <w:sz w:val="18"/>
    </w:rPr>
  </w:style>
  <w:style w:type="paragraph" w:styleId="714">
    <w:name w:val="endnote text"/>
    <w:basedOn w:val="718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>
    <w:name w:val="Endnote Text Char"/>
    <w:link w:val="714"/>
    <w:uiPriority w:val="99"/>
    <w:rPr>
      <w:sz w:val="20"/>
    </w:rPr>
  </w:style>
  <w:style w:type="character" w:styleId="716">
    <w:name w:val="endnote reference"/>
    <w:basedOn w:val="719"/>
    <w:uiPriority w:val="99"/>
    <w:semiHidden/>
    <w:unhideWhenUsed/>
    <w:rPr>
      <w:vertAlign w:val="superscript"/>
    </w:rPr>
  </w:style>
  <w:style w:type="paragraph" w:styleId="717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link w:val="875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Heading 2 Char"/>
    <w:basedOn w:val="719"/>
    <w:link w:val="876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link w:val="877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Heading 4 Char"/>
    <w:basedOn w:val="719"/>
    <w:link w:val="878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Heading 5 Char"/>
    <w:basedOn w:val="719"/>
    <w:link w:val="879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Heading 6 Char"/>
    <w:basedOn w:val="719"/>
    <w:link w:val="880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Heading 7 Char"/>
    <w:basedOn w:val="719"/>
    <w:link w:val="8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Heading 8 Char"/>
    <w:basedOn w:val="719"/>
    <w:link w:val="882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Heading 9 Char"/>
    <w:basedOn w:val="719"/>
    <w:link w:val="883"/>
    <w:uiPriority w:val="9"/>
    <w:rPr>
      <w:rFonts w:ascii="Arial" w:hAnsi="Arial" w:cs="Arial" w:eastAsia="Arial"/>
      <w:i/>
      <w:iCs/>
      <w:sz w:val="21"/>
      <w:szCs w:val="21"/>
    </w:rPr>
  </w:style>
  <w:style w:type="character" w:styleId="731" w:customStyle="1">
    <w:name w:val="Title Char"/>
    <w:basedOn w:val="719"/>
    <w:link w:val="895"/>
    <w:uiPriority w:val="10"/>
    <w:rPr>
      <w:sz w:val="48"/>
      <w:szCs w:val="48"/>
    </w:rPr>
  </w:style>
  <w:style w:type="character" w:styleId="732" w:customStyle="1">
    <w:name w:val="Subtitle Char"/>
    <w:basedOn w:val="719"/>
    <w:link w:val="897"/>
    <w:uiPriority w:val="11"/>
    <w:rPr>
      <w:sz w:val="24"/>
      <w:szCs w:val="24"/>
    </w:rPr>
  </w:style>
  <w:style w:type="character" w:styleId="733" w:customStyle="1">
    <w:name w:val="Quote Char"/>
    <w:link w:val="903"/>
    <w:uiPriority w:val="29"/>
    <w:rPr>
      <w:i/>
    </w:rPr>
  </w:style>
  <w:style w:type="character" w:styleId="734" w:customStyle="1">
    <w:name w:val="Intense Quote Char"/>
    <w:link w:val="905"/>
    <w:uiPriority w:val="30"/>
    <w:rPr>
      <w:i/>
    </w:rPr>
  </w:style>
  <w:style w:type="character" w:styleId="735" w:customStyle="1">
    <w:name w:val="Header Char"/>
    <w:basedOn w:val="719"/>
    <w:link w:val="916"/>
    <w:uiPriority w:val="99"/>
  </w:style>
  <w:style w:type="character" w:styleId="736" w:customStyle="1">
    <w:name w:val="Footer Char"/>
    <w:basedOn w:val="719"/>
    <w:link w:val="919"/>
    <w:uiPriority w:val="99"/>
  </w:style>
  <w:style w:type="table" w:styleId="737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3" w:customStyle="1">
    <w:name w:val="Lined - Accent 2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4" w:customStyle="1">
    <w:name w:val="Lined - Accent 3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5" w:customStyle="1">
    <w:name w:val="Lined - Accent 4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6" w:customStyle="1">
    <w:name w:val="Lined - Accent 5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 &amp; Lined - Accent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 1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0" w:customStyle="1">
    <w:name w:val="Bordered &amp; Lined - Accent 2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1" w:customStyle="1">
    <w:name w:val="Bordered &amp; Lined - Accent 3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2" w:customStyle="1">
    <w:name w:val="Bordered &amp; Lined - Accent 4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3" w:customStyle="1">
    <w:name w:val="Bordered &amp; Lined - Accent 5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Bordered &amp; Lined - Accent 6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718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19"/>
    <w:uiPriority w:val="99"/>
    <w:unhideWhenUsed/>
    <w:rPr>
      <w:vertAlign w:val="superscript"/>
    </w:rPr>
  </w:style>
  <w:style w:type="paragraph" w:styleId="866">
    <w:name w:val="toc 1"/>
    <w:basedOn w:val="718"/>
    <w:next w:val="718"/>
    <w:uiPriority w:val="39"/>
    <w:unhideWhenUsed/>
    <w:pPr>
      <w:spacing w:after="57"/>
    </w:pPr>
  </w:style>
  <w:style w:type="paragraph" w:styleId="867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68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69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70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71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72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73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74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75" w:customStyle="1">
    <w:name w:val="Heading 1"/>
    <w:basedOn w:val="718"/>
    <w:next w:val="718"/>
    <w:link w:val="88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76" w:customStyle="1">
    <w:name w:val="Heading 2"/>
    <w:basedOn w:val="718"/>
    <w:next w:val="718"/>
    <w:link w:val="88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77" w:customStyle="1">
    <w:name w:val="Heading 3"/>
    <w:basedOn w:val="718"/>
    <w:next w:val="718"/>
    <w:link w:val="88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78" w:customStyle="1">
    <w:name w:val="Heading 4"/>
    <w:basedOn w:val="718"/>
    <w:next w:val="718"/>
    <w:link w:val="88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79" w:customStyle="1">
    <w:name w:val="Heading 5"/>
    <w:basedOn w:val="718"/>
    <w:next w:val="718"/>
    <w:link w:val="89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80" w:customStyle="1">
    <w:name w:val="Heading 6"/>
    <w:basedOn w:val="718"/>
    <w:next w:val="718"/>
    <w:link w:val="891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81" w:customStyle="1">
    <w:name w:val="Heading 7"/>
    <w:basedOn w:val="718"/>
    <w:next w:val="718"/>
    <w:link w:val="892"/>
    <w:qFormat/>
    <w:uiPriority w:val="9"/>
    <w:semiHidden/>
    <w:unhideWhenUsed/>
    <w:pPr>
      <w:spacing w:after="60" w:before="240"/>
      <w:outlineLvl w:val="6"/>
    </w:pPr>
  </w:style>
  <w:style w:type="paragraph" w:styleId="882" w:customStyle="1">
    <w:name w:val="Heading 8"/>
    <w:basedOn w:val="718"/>
    <w:next w:val="718"/>
    <w:link w:val="89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83" w:customStyle="1">
    <w:name w:val="Heading 9"/>
    <w:basedOn w:val="718"/>
    <w:next w:val="718"/>
    <w:link w:val="894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84">
    <w:name w:val="Balloon Text"/>
    <w:basedOn w:val="718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9"/>
    <w:link w:val="884"/>
    <w:uiPriority w:val="99"/>
    <w:semiHidden/>
    <w:rPr>
      <w:rFonts w:ascii="Tahoma" w:hAnsi="Tahoma" w:cs="Tahoma"/>
      <w:sz w:val="16"/>
      <w:szCs w:val="16"/>
    </w:rPr>
  </w:style>
  <w:style w:type="character" w:styleId="886" w:customStyle="1">
    <w:name w:val="Заголовок 1 Знак"/>
    <w:basedOn w:val="719"/>
    <w:link w:val="875"/>
    <w:uiPriority w:val="9"/>
    <w:rPr>
      <w:rFonts w:ascii="Cambria" w:hAnsi="Cambria" w:eastAsia="Cambria"/>
      <w:b/>
      <w:bCs/>
      <w:sz w:val="32"/>
      <w:szCs w:val="32"/>
    </w:rPr>
  </w:style>
  <w:style w:type="character" w:styleId="887" w:customStyle="1">
    <w:name w:val="Заголовок 2 Знак"/>
    <w:basedOn w:val="719"/>
    <w:link w:val="87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88" w:customStyle="1">
    <w:name w:val="Заголовок 3 Знак"/>
    <w:basedOn w:val="719"/>
    <w:link w:val="877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89" w:customStyle="1">
    <w:name w:val="Заголовок 4 Знак"/>
    <w:basedOn w:val="719"/>
    <w:link w:val="878"/>
    <w:uiPriority w:val="9"/>
    <w:rPr>
      <w:b/>
      <w:bCs/>
      <w:sz w:val="28"/>
      <w:szCs w:val="28"/>
    </w:rPr>
  </w:style>
  <w:style w:type="character" w:styleId="890" w:customStyle="1">
    <w:name w:val="Заголовок 5 Знак"/>
    <w:basedOn w:val="719"/>
    <w:link w:val="879"/>
    <w:uiPriority w:val="9"/>
    <w:semiHidden/>
    <w:rPr>
      <w:b/>
      <w:bCs/>
      <w:i/>
      <w:iCs/>
      <w:sz w:val="26"/>
      <w:szCs w:val="26"/>
    </w:rPr>
  </w:style>
  <w:style w:type="character" w:styleId="891" w:customStyle="1">
    <w:name w:val="Заголовок 6 Знак"/>
    <w:basedOn w:val="719"/>
    <w:link w:val="880"/>
    <w:uiPriority w:val="9"/>
    <w:semiHidden/>
    <w:rPr>
      <w:b/>
      <w:bCs/>
    </w:rPr>
  </w:style>
  <w:style w:type="character" w:styleId="892" w:customStyle="1">
    <w:name w:val="Заголовок 7 Знак"/>
    <w:basedOn w:val="719"/>
    <w:link w:val="881"/>
    <w:uiPriority w:val="9"/>
    <w:semiHidden/>
    <w:rPr>
      <w:sz w:val="24"/>
      <w:szCs w:val="24"/>
    </w:rPr>
  </w:style>
  <w:style w:type="character" w:styleId="893" w:customStyle="1">
    <w:name w:val="Заголовок 8 Знак"/>
    <w:basedOn w:val="719"/>
    <w:link w:val="882"/>
    <w:uiPriority w:val="9"/>
    <w:semiHidden/>
    <w:rPr>
      <w:i/>
      <w:iCs/>
      <w:sz w:val="24"/>
      <w:szCs w:val="24"/>
    </w:rPr>
  </w:style>
  <w:style w:type="character" w:styleId="894" w:customStyle="1">
    <w:name w:val="Заголовок 9 Знак"/>
    <w:basedOn w:val="719"/>
    <w:link w:val="883"/>
    <w:uiPriority w:val="9"/>
    <w:semiHidden/>
    <w:rPr>
      <w:rFonts w:ascii="Cambria" w:hAnsi="Cambria" w:eastAsia="Cambria"/>
    </w:rPr>
  </w:style>
  <w:style w:type="paragraph" w:styleId="895">
    <w:name w:val="Title"/>
    <w:basedOn w:val="718"/>
    <w:next w:val="718"/>
    <w:link w:val="89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96" w:customStyle="1">
    <w:name w:val="Название Знак"/>
    <w:basedOn w:val="719"/>
    <w:link w:val="895"/>
    <w:uiPriority w:val="10"/>
    <w:rPr>
      <w:rFonts w:ascii="Cambria" w:hAnsi="Cambria" w:eastAsia="Cambria"/>
      <w:b/>
      <w:bCs/>
      <w:sz w:val="32"/>
      <w:szCs w:val="32"/>
    </w:rPr>
  </w:style>
  <w:style w:type="paragraph" w:styleId="897">
    <w:name w:val="Subtitle"/>
    <w:basedOn w:val="718"/>
    <w:next w:val="718"/>
    <w:link w:val="89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98" w:customStyle="1">
    <w:name w:val="Подзаголовок Знак"/>
    <w:basedOn w:val="719"/>
    <w:link w:val="897"/>
    <w:uiPriority w:val="11"/>
    <w:rPr>
      <w:rFonts w:ascii="Cambria" w:hAnsi="Cambria" w:eastAsia="Cambria"/>
      <w:sz w:val="24"/>
      <w:szCs w:val="24"/>
    </w:rPr>
  </w:style>
  <w:style w:type="character" w:styleId="899">
    <w:name w:val="Strong"/>
    <w:basedOn w:val="719"/>
    <w:qFormat/>
    <w:uiPriority w:val="22"/>
    <w:rPr>
      <w:b/>
      <w:bCs/>
    </w:rPr>
  </w:style>
  <w:style w:type="character" w:styleId="900">
    <w:name w:val="Emphasis"/>
    <w:basedOn w:val="719"/>
    <w:qFormat/>
    <w:uiPriority w:val="20"/>
    <w:rPr>
      <w:rFonts w:ascii="Calibri" w:hAnsi="Calibri"/>
      <w:b/>
      <w:i/>
      <w:iCs/>
    </w:rPr>
  </w:style>
  <w:style w:type="paragraph" w:styleId="901">
    <w:name w:val="No Spacing"/>
    <w:basedOn w:val="718"/>
    <w:qFormat/>
    <w:uiPriority w:val="1"/>
    <w:rPr>
      <w:sz w:val="32"/>
      <w:szCs w:val="32"/>
    </w:rPr>
  </w:style>
  <w:style w:type="paragraph" w:styleId="902">
    <w:name w:val="List Paragraph"/>
    <w:basedOn w:val="718"/>
    <w:qFormat/>
    <w:uiPriority w:val="99"/>
    <w:pPr>
      <w:contextualSpacing w:val="true"/>
      <w:ind w:left="720"/>
    </w:pPr>
  </w:style>
  <w:style w:type="paragraph" w:styleId="903">
    <w:name w:val="Quote"/>
    <w:basedOn w:val="718"/>
    <w:next w:val="718"/>
    <w:link w:val="904"/>
    <w:qFormat/>
    <w:uiPriority w:val="29"/>
    <w:rPr>
      <w:i/>
    </w:rPr>
  </w:style>
  <w:style w:type="character" w:styleId="904" w:customStyle="1">
    <w:name w:val="Цитата 2 Знак"/>
    <w:basedOn w:val="719"/>
    <w:link w:val="903"/>
    <w:uiPriority w:val="29"/>
    <w:rPr>
      <w:i/>
      <w:sz w:val="24"/>
      <w:szCs w:val="24"/>
    </w:rPr>
  </w:style>
  <w:style w:type="paragraph" w:styleId="905">
    <w:name w:val="Intense Quote"/>
    <w:basedOn w:val="718"/>
    <w:next w:val="718"/>
    <w:link w:val="906"/>
    <w:qFormat/>
    <w:uiPriority w:val="30"/>
    <w:rPr>
      <w:b/>
      <w:i/>
      <w:sz w:val="22"/>
      <w:szCs w:val="22"/>
    </w:rPr>
    <w:pPr>
      <w:ind w:left="720" w:right="720"/>
    </w:pPr>
  </w:style>
  <w:style w:type="character" w:styleId="906" w:customStyle="1">
    <w:name w:val="Выделенная цитата Знак"/>
    <w:basedOn w:val="719"/>
    <w:link w:val="905"/>
    <w:uiPriority w:val="30"/>
    <w:rPr>
      <w:b/>
      <w:i/>
      <w:sz w:val="24"/>
    </w:rPr>
  </w:style>
  <w:style w:type="character" w:styleId="907">
    <w:name w:val="Subtle Emphasis"/>
    <w:qFormat/>
    <w:uiPriority w:val="19"/>
    <w:rPr>
      <w:i/>
      <w:color w:val="5A5A5A" w:themeColor="text1" w:themeTint="A5"/>
    </w:rPr>
  </w:style>
  <w:style w:type="character" w:styleId="908">
    <w:name w:val="Intense Emphasis"/>
    <w:basedOn w:val="719"/>
    <w:qFormat/>
    <w:uiPriority w:val="21"/>
    <w:rPr>
      <w:b/>
      <w:i/>
      <w:sz w:val="24"/>
      <w:szCs w:val="24"/>
      <w:u w:val="single"/>
    </w:rPr>
  </w:style>
  <w:style w:type="character" w:styleId="909">
    <w:name w:val="Subtle Reference"/>
    <w:basedOn w:val="719"/>
    <w:qFormat/>
    <w:uiPriority w:val="31"/>
    <w:rPr>
      <w:sz w:val="24"/>
      <w:szCs w:val="24"/>
      <w:u w:val="single"/>
    </w:rPr>
  </w:style>
  <w:style w:type="character" w:styleId="910">
    <w:name w:val="Intense Reference"/>
    <w:basedOn w:val="719"/>
    <w:qFormat/>
    <w:uiPriority w:val="32"/>
    <w:rPr>
      <w:b/>
      <w:sz w:val="24"/>
      <w:u w:val="single"/>
    </w:rPr>
  </w:style>
  <w:style w:type="character" w:styleId="911">
    <w:name w:val="Book Title"/>
    <w:basedOn w:val="71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12">
    <w:name w:val="TOC Heading"/>
    <w:basedOn w:val="875"/>
    <w:next w:val="718"/>
    <w:qFormat/>
    <w:uiPriority w:val="39"/>
    <w:semiHidden/>
    <w:unhideWhenUsed/>
    <w:pPr>
      <w:outlineLvl w:val="9"/>
    </w:pPr>
  </w:style>
  <w:style w:type="table" w:styleId="913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>
    <w:name w:val="Body Text 2"/>
    <w:basedOn w:val="718"/>
    <w:link w:val="915"/>
    <w:uiPriority w:val="99"/>
    <w:semiHidden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915" w:customStyle="1">
    <w:name w:val="Основной текст 2 Знак"/>
    <w:basedOn w:val="719"/>
    <w:link w:val="914"/>
    <w:uiPriority w:val="99"/>
    <w:semiHidden/>
    <w:rPr>
      <w:rFonts w:ascii="Calibri" w:hAnsi="Calibri" w:eastAsia="Times New Roman"/>
      <w:lang w:val="uk-UA" w:bidi="ar-SA" w:eastAsia="uk-UA"/>
    </w:rPr>
  </w:style>
  <w:style w:type="paragraph" w:styleId="916" w:customStyle="1">
    <w:name w:val="Header"/>
    <w:basedOn w:val="718"/>
    <w:link w:val="917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917" w:customStyle="1">
    <w:name w:val="Верхний колонтитул Знак"/>
    <w:basedOn w:val="719"/>
    <w:link w:val="916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918">
    <w:name w:val="page number"/>
    <w:basedOn w:val="719"/>
  </w:style>
  <w:style w:type="paragraph" w:styleId="919" w:customStyle="1">
    <w:name w:val="Footer"/>
    <w:basedOn w:val="718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19"/>
    <w:link w:val="919"/>
    <w:uiPriority w:val="99"/>
    <w:semiHidden/>
    <w:rPr>
      <w:sz w:val="24"/>
      <w:szCs w:val="24"/>
    </w:rPr>
  </w:style>
  <w:style w:type="paragraph" w:styleId="921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СТАРОДУБ Людмила Олександрівна</cp:lastModifiedBy>
  <cp:revision>6</cp:revision>
  <dcterms:created xsi:type="dcterms:W3CDTF">2021-11-05T08:00:00Z</dcterms:created>
  <dcterms:modified xsi:type="dcterms:W3CDTF">2021-11-25T15:20:45Z</dcterms:modified>
</cp:coreProperties>
</file>