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/>
        <w:tabs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ВИКОНАВЧИЙ КОМІТЕТ</w:t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left"/>
        <w:spacing w:lineRule="auto" w:line="240" w:after="0" w:afterAutospacing="0" w:before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23 листопада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2021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  <w:t xml:space="preserve">м.Мена</w:t>
        <w:tab/>
        <w:t xml:space="preserve">№ 328</w:t>
      </w:r>
      <w:r>
        <w:rPr>
          <w:b w:val="false"/>
        </w:rPr>
      </w:r>
      <w:r/>
    </w:p>
    <w:p>
      <w:pPr>
        <w:ind w:left="0" w:right="0" w:firstLine="0"/>
        <w:jc w:val="left"/>
        <w:spacing w:lineRule="auto" w:line="240" w:after="0" w:afterAutospacing="0" w:before="0"/>
        <w:tabs>
          <w:tab w:val="left" w:pos="4252" w:leader="none"/>
          <w:tab w:val="left" w:pos="7370" w:leader="none"/>
        </w:tabs>
        <w:rPr>
          <w:rFonts w:ascii="Times New Roman" w:hAnsi="Times New Roman" w:cs="Times New Roman" w:eastAsia="Times New Roman"/>
          <w:b w:val="false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погодження Програми підтримки та розвитку місцевого самоврядування на території 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метою забезпечення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процеси в населених пунктах громади, активізацію діяльності депутатського корпусу і громадськості громади та керуючись ст.25, 52 Закону України «Про місцеве самоврядування в Україні», виконавчий комітет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ВИРІШИВ:</w:t>
      </w:r>
      <w:r>
        <w:rPr>
          <w:sz w:val="28"/>
        </w:rPr>
      </w:r>
      <w:r/>
    </w:p>
    <w:p>
      <w:pPr>
        <w:pStyle w:val="656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Погодити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проєкт Програми </w:t>
      </w:r>
      <w:r>
        <w:rPr>
          <w:rFonts w:ascii="Times New Roman" w:hAnsi="Times New Roman" w:cs="Times New Roman" w:eastAsia="Times New Roman"/>
          <w:sz w:val="28"/>
        </w:rPr>
        <w:t xml:space="preserve">підтримки та розвитку місцевого самоврядування на території Менської міської територіальної громади на 2022-2024 роки (далі Програма), відповідно до додатку до рішення.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6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Подати на сесію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проєкт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даної Програми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для розгляду та затвердження.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</w:r>
      <w:r/>
    </w:p>
    <w:p>
      <w:pPr>
        <w:pStyle w:val="656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рішення покласти на секретаря ради Стальниченка Ю.В.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16</cp:revision>
  <dcterms:created xsi:type="dcterms:W3CDTF">2019-03-29T20:09:00Z</dcterms:created>
  <dcterms:modified xsi:type="dcterms:W3CDTF">2021-11-25T15:12:23Z</dcterms:modified>
</cp:coreProperties>
</file>