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51" w:rsidRDefault="0093535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40055" cy="612775"/>
                <wp:effectExtent l="19050" t="0" r="0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005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2pt;" stroked="f" strokeweight="0.75pt">
                <v:path textboxrect="0,0,0,0"/>
                <v:imagedata r:id="rId10" o:title=""/>
              </v:shape>
            </w:pict>
          </mc:Fallback>
        </mc:AlternateContent>
      </w:r>
    </w:p>
    <w:p w:rsidR="00417051" w:rsidRDefault="004170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417051" w:rsidRDefault="0093535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417051" w:rsidRDefault="004170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417051" w:rsidRDefault="0093535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417051" w:rsidRDefault="0093535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417051" w:rsidRDefault="00417051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417051" w:rsidRDefault="0093535E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0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29 жовтня 2021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№ </w:t>
      </w:r>
      <w:r w:rsidR="003D4D8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319</w:t>
      </w:r>
    </w:p>
    <w:p w:rsidR="00417051" w:rsidRDefault="00417051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0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</w:p>
    <w:p w:rsidR="00417051" w:rsidRDefault="0093535E">
      <w:pPr>
        <w:widowControl w:val="0"/>
        <w:tabs>
          <w:tab w:val="left" w:pos="8505"/>
        </w:tabs>
        <w:spacing w:after="0" w:line="240" w:lineRule="auto"/>
        <w:ind w:right="-143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тарифи на послуги з централізованого водопостачання та централізованого  водовідведення по населеним пунктам Менської міської територіальної громади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(крім міста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17051" w:rsidRDefault="00417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51" w:rsidRDefault="00935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звернення директора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про встановлення тарифів на послуги з централізованого водопостачання та централізованого водовідведення по населеним пунктам Менської міської територіальної громади (крім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подані розрахунки  розмірів тарифів відповідно до Порядку ф</w:t>
      </w:r>
      <w:r>
        <w:rPr>
          <w:rFonts w:ascii="Times New Roman" w:hAnsi="Times New Roman" w:cs="Times New Roman"/>
          <w:sz w:val="28"/>
          <w:szCs w:val="28"/>
        </w:rPr>
        <w:t>ормування тарифів на централізоване водопостачання та централізоване водовідведення, затвердженого постановою Кабінету Міністрів України від 01 червня 2011 року № 869 (в редакції постанови Кабінету Міністрів України від 03 квітня 2019 року № 291), керуючис</w:t>
      </w:r>
      <w:r>
        <w:rPr>
          <w:rFonts w:ascii="Times New Roman" w:hAnsi="Times New Roman" w:cs="Times New Roman"/>
          <w:sz w:val="28"/>
          <w:szCs w:val="28"/>
        </w:rPr>
        <w:t xml:space="preserve">ь ст.28 Закону України «Про місцеве самоврядування в Україні», ст. 4 Закону України «Про житлово-комунальні послуги», виконавчий комітет Менської міської ради </w:t>
      </w:r>
    </w:p>
    <w:p w:rsidR="00417051" w:rsidRDefault="00935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417051" w:rsidRDefault="009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1.Встановити тарифи на послуги з централізованого водопостачання та водовідведення по н</w:t>
      </w:r>
      <w:r>
        <w:rPr>
          <w:rFonts w:ascii="Times New Roman" w:hAnsi="Times New Roman" w:cs="Times New Roman"/>
          <w:sz w:val="28"/>
          <w:szCs w:val="28"/>
        </w:rPr>
        <w:t xml:space="preserve">аселеним пунктам Менської міської територіальної громади (крім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які надає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Менської міської ради в таких розмірах:</w:t>
      </w:r>
    </w:p>
    <w:p w:rsidR="00417051" w:rsidRDefault="00935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вартість централізованого водопостачання для населення, бюджетних організацій та  інших споживачів  - 15,75</w:t>
      </w:r>
      <w:r>
        <w:rPr>
          <w:rFonts w:ascii="Times New Roman" w:hAnsi="Times New Roman" w:cs="Times New Roman"/>
          <w:sz w:val="28"/>
          <w:szCs w:val="28"/>
        </w:rPr>
        <w:t xml:space="preserve"> грн. за 1 м. куб. з ПДВ;</w:t>
      </w:r>
    </w:p>
    <w:p w:rsidR="00417051" w:rsidRDefault="009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централізованого водовідведення для населення, бюджетних організацій та  інших споживачів  - 39,25 грн. за 1 м. куб. з ПДВ;</w:t>
      </w:r>
    </w:p>
    <w:p w:rsidR="00417051" w:rsidRDefault="0093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 (додаток 1) та централізоване водовідведення (д</w:t>
      </w:r>
      <w:r>
        <w:rPr>
          <w:rFonts w:ascii="Times New Roman" w:hAnsi="Times New Roman" w:cs="Times New Roman"/>
          <w:sz w:val="28"/>
          <w:szCs w:val="28"/>
        </w:rPr>
        <w:t>одаток 2) по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додається.</w:t>
      </w:r>
    </w:p>
    <w:p w:rsidR="00417051" w:rsidRDefault="00935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2.Внести зміни в пункт 1 рішення виконавчого комітету Менської міської ради від 12 січня 2021 року № 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 тарифи на послуги з централізованого водопостачання, централізованого  водовідведення та поводження з побутовими відходами (рідкі побутові відходи) на території смт Макошине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виклавши його в наступній редакції:</w:t>
      </w:r>
    </w:p>
    <w:p w:rsidR="00417051" w:rsidRDefault="009353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«1. Встановити тарифи на послуги з цент</w:t>
      </w:r>
      <w:r>
        <w:rPr>
          <w:rFonts w:ascii="Times New Roman" w:hAnsi="Times New Roman"/>
          <w:sz w:val="28"/>
          <w:szCs w:val="28"/>
        </w:rPr>
        <w:t xml:space="preserve">ралізованого водопостачання, централізованого водовідведення  та поводження з побутовими відходами (рідкі </w:t>
      </w:r>
      <w:r>
        <w:rPr>
          <w:rFonts w:ascii="Times New Roman" w:hAnsi="Times New Roman"/>
          <w:sz w:val="28"/>
          <w:szCs w:val="28"/>
        </w:rPr>
        <w:lastRenderedPageBreak/>
        <w:t>побутові відходи) для споживачів на території смт Макошине, які надає КП «</w:t>
      </w:r>
      <w:proofErr w:type="spellStart"/>
      <w:r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</w:rPr>
        <w:t>», в наступних розмірах:</w:t>
      </w:r>
    </w:p>
    <w:p w:rsidR="00417051" w:rsidRDefault="0093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централізоване 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-15</w:t>
      </w:r>
      <w:r>
        <w:rPr>
          <w:rFonts w:ascii="Times New Roman" w:hAnsi="Times New Roman" w:cs="Times New Roman"/>
          <w:sz w:val="28"/>
          <w:szCs w:val="28"/>
        </w:rPr>
        <w:t>,75 грн. за 1 м. куб. з ПДВ;</w:t>
      </w:r>
    </w:p>
    <w:p w:rsidR="00417051" w:rsidRDefault="00417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51" w:rsidRDefault="00935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централізоване водовідведення</w:t>
      </w:r>
      <w:bookmarkStart w:id="0" w:name="_GoBack"/>
      <w:bookmarkEnd w:id="0"/>
    </w:p>
    <w:p w:rsidR="00417051" w:rsidRDefault="00935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- 39,25 грн. за 1 м. куб. з ПДВ;</w:t>
      </w:r>
    </w:p>
    <w:p w:rsidR="00417051" w:rsidRDefault="00935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бюджетних установ та інших споживачів</w:t>
      </w:r>
      <w:r>
        <w:rPr>
          <w:rFonts w:ascii="Times New Roman" w:hAnsi="Times New Roman" w:cs="Times New Roman"/>
          <w:sz w:val="28"/>
          <w:szCs w:val="28"/>
        </w:rPr>
        <w:tab/>
        <w:t>- 39,25 грн. за 1 м. куб. з ПДВ;</w:t>
      </w:r>
    </w:p>
    <w:p w:rsidR="00417051" w:rsidRDefault="00417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51" w:rsidRDefault="00935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</w:t>
      </w:r>
    </w:p>
    <w:p w:rsidR="00417051" w:rsidRDefault="00935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(рідкі побутові відходи)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- 45,</w:t>
      </w:r>
      <w:r>
        <w:rPr>
          <w:rFonts w:ascii="Times New Roman" w:hAnsi="Times New Roman" w:cs="Times New Roman"/>
          <w:sz w:val="28"/>
          <w:szCs w:val="28"/>
        </w:rPr>
        <w:t>00 грн. за 1 м .куб. з ПДВ”</w:t>
      </w:r>
    </w:p>
    <w:p w:rsidR="00417051" w:rsidRDefault="00417051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051" w:rsidRDefault="00935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3.Встановлені тарифи на послуги з централізованого водопостачання та централізованого водовідведення по</w:t>
      </w:r>
      <w:r>
        <w:rPr>
          <w:rFonts w:ascii="Times New Roman" w:hAnsi="Times New Roman" w:cs="Times New Roman"/>
          <w:sz w:val="28"/>
          <w:szCs w:val="28"/>
        </w:rPr>
        <w:t xml:space="preserve"> населеним пунктам Менської міської територіальної громади (крім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які надає КП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вводяться в </w:t>
      </w:r>
      <w:r>
        <w:rPr>
          <w:rFonts w:ascii="Times New Roman" w:hAnsi="Times New Roman"/>
          <w:sz w:val="28"/>
          <w:szCs w:val="28"/>
        </w:rPr>
        <w:t>дію з 01 листопада 2021 року.</w:t>
      </w:r>
    </w:p>
    <w:p w:rsidR="00417051" w:rsidRDefault="00935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4.Оприлюднити дане рішення в газеті «Наше слово» або на офіційному сайті Менської міської ради.</w:t>
      </w:r>
    </w:p>
    <w:p w:rsidR="00417051" w:rsidRDefault="0093535E">
      <w:pPr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bookmarkStart w:id="1" w:name="_Hlk29984416"/>
      <w:r>
        <w:rPr>
          <w:rFonts w:ascii="Times New Roman" w:hAnsi="Times New Roman"/>
          <w:sz w:val="28"/>
          <w:szCs w:val="28"/>
          <w:lang w:eastAsia="hi-IN" w:bidi="hi-IN"/>
        </w:rPr>
        <w:tab/>
        <w:t xml:space="preserve">5.Контроль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за виконанням рішення покласти на заступника міського голови з питань діяльності виконавчих органів ради </w:t>
      </w:r>
      <w:bookmarkEnd w:id="1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С.М.</w:t>
      </w:r>
      <w:r w:rsidR="003D4D8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Гаєвого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</w:p>
    <w:p w:rsidR="00417051" w:rsidRDefault="00417051">
      <w:pPr>
        <w:tabs>
          <w:tab w:val="left" w:pos="992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417051" w:rsidRDefault="00417051">
      <w:pPr>
        <w:tabs>
          <w:tab w:val="left" w:pos="992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</w:rPr>
      </w:pPr>
    </w:p>
    <w:p w:rsidR="00417051" w:rsidRDefault="0093535E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1"/>
          <w:rFonts w:eastAsia="Calibri"/>
          <w:bCs/>
        </w:rPr>
      </w:pPr>
      <w:r>
        <w:rPr>
          <w:rStyle w:val="rvts11"/>
          <w:rFonts w:eastAsia="Calibri"/>
          <w:bCs/>
          <w:sz w:val="28"/>
          <w:szCs w:val="28"/>
          <w:lang w:val="uk-UA"/>
        </w:rPr>
        <w:t>Міський голова</w:t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</w:r>
      <w:r>
        <w:rPr>
          <w:rStyle w:val="rvts11"/>
          <w:rFonts w:eastAsia="Calibri"/>
          <w:bCs/>
          <w:sz w:val="28"/>
          <w:szCs w:val="28"/>
          <w:lang w:val="uk-UA"/>
        </w:rPr>
        <w:tab/>
        <w:t xml:space="preserve">                      Геннадій ПРИМАКОВ</w:t>
      </w:r>
    </w:p>
    <w:p w:rsidR="00417051" w:rsidRDefault="0041705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417051" w:rsidRDefault="00417051"/>
    <w:sectPr w:rsidR="00417051" w:rsidSect="003D4D8A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35E" w:rsidRDefault="0093535E">
      <w:pPr>
        <w:spacing w:after="0" w:line="240" w:lineRule="auto"/>
      </w:pPr>
      <w:r>
        <w:separator/>
      </w:r>
    </w:p>
  </w:endnote>
  <w:endnote w:type="continuationSeparator" w:id="0">
    <w:p w:rsidR="0093535E" w:rsidRDefault="0093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35E" w:rsidRDefault="0093535E">
      <w:pPr>
        <w:spacing w:after="0" w:line="240" w:lineRule="auto"/>
      </w:pPr>
      <w:r>
        <w:separator/>
      </w:r>
    </w:p>
  </w:footnote>
  <w:footnote w:type="continuationSeparator" w:id="0">
    <w:p w:rsidR="0093535E" w:rsidRDefault="0093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101643"/>
      <w:docPartObj>
        <w:docPartGallery w:val="Page Numbers (Top of Page)"/>
        <w:docPartUnique/>
      </w:docPartObj>
    </w:sdtPr>
    <w:sdtContent>
      <w:p w:rsidR="003D4D8A" w:rsidRDefault="003D4D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4D8A" w:rsidRDefault="003D4D8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4D18"/>
    <w:multiLevelType w:val="hybridMultilevel"/>
    <w:tmpl w:val="B606A4A6"/>
    <w:lvl w:ilvl="0" w:tplc="E4E4C474">
      <w:start w:val="1"/>
      <w:numFmt w:val="decimal"/>
      <w:lvlText w:val="%1."/>
      <w:lvlJc w:val="left"/>
      <w:pPr>
        <w:ind w:left="1417" w:hanging="360"/>
      </w:pPr>
    </w:lvl>
    <w:lvl w:ilvl="1" w:tplc="28EEB6AA">
      <w:start w:val="1"/>
      <w:numFmt w:val="lowerLetter"/>
      <w:lvlText w:val="%2."/>
      <w:lvlJc w:val="left"/>
      <w:pPr>
        <w:ind w:left="1440" w:hanging="360"/>
      </w:pPr>
    </w:lvl>
    <w:lvl w:ilvl="2" w:tplc="12B612CA">
      <w:start w:val="1"/>
      <w:numFmt w:val="lowerRoman"/>
      <w:lvlText w:val="%3."/>
      <w:lvlJc w:val="right"/>
      <w:pPr>
        <w:ind w:left="2160" w:hanging="180"/>
      </w:pPr>
    </w:lvl>
    <w:lvl w:ilvl="3" w:tplc="0FB632D4">
      <w:start w:val="1"/>
      <w:numFmt w:val="decimal"/>
      <w:lvlText w:val="%4."/>
      <w:lvlJc w:val="left"/>
      <w:pPr>
        <w:ind w:left="2880" w:hanging="360"/>
      </w:pPr>
    </w:lvl>
    <w:lvl w:ilvl="4" w:tplc="4C8E338E">
      <w:start w:val="1"/>
      <w:numFmt w:val="lowerLetter"/>
      <w:lvlText w:val="%5."/>
      <w:lvlJc w:val="left"/>
      <w:pPr>
        <w:ind w:left="3600" w:hanging="360"/>
      </w:pPr>
    </w:lvl>
    <w:lvl w:ilvl="5" w:tplc="3AE4AC4E">
      <w:start w:val="1"/>
      <w:numFmt w:val="lowerRoman"/>
      <w:lvlText w:val="%6."/>
      <w:lvlJc w:val="right"/>
      <w:pPr>
        <w:ind w:left="4320" w:hanging="180"/>
      </w:pPr>
    </w:lvl>
    <w:lvl w:ilvl="6" w:tplc="DE748A10">
      <w:start w:val="1"/>
      <w:numFmt w:val="decimal"/>
      <w:lvlText w:val="%7."/>
      <w:lvlJc w:val="left"/>
      <w:pPr>
        <w:ind w:left="5040" w:hanging="360"/>
      </w:pPr>
    </w:lvl>
    <w:lvl w:ilvl="7" w:tplc="2DBAB6AC">
      <w:start w:val="1"/>
      <w:numFmt w:val="lowerLetter"/>
      <w:lvlText w:val="%8."/>
      <w:lvlJc w:val="left"/>
      <w:pPr>
        <w:ind w:left="5760" w:hanging="360"/>
      </w:pPr>
    </w:lvl>
    <w:lvl w:ilvl="8" w:tplc="6AFE21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1FA8"/>
    <w:multiLevelType w:val="hybridMultilevel"/>
    <w:tmpl w:val="63785A86"/>
    <w:lvl w:ilvl="0" w:tplc="547C88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8802686">
      <w:start w:val="1"/>
      <w:numFmt w:val="lowerLetter"/>
      <w:lvlText w:val="%2."/>
      <w:lvlJc w:val="left"/>
      <w:pPr>
        <w:ind w:left="1440" w:hanging="360"/>
      </w:pPr>
    </w:lvl>
    <w:lvl w:ilvl="2" w:tplc="26A878BA">
      <w:start w:val="1"/>
      <w:numFmt w:val="lowerRoman"/>
      <w:lvlText w:val="%3."/>
      <w:lvlJc w:val="right"/>
      <w:pPr>
        <w:ind w:left="2160" w:hanging="180"/>
      </w:pPr>
    </w:lvl>
    <w:lvl w:ilvl="3" w:tplc="04B62A6E">
      <w:start w:val="1"/>
      <w:numFmt w:val="decimal"/>
      <w:lvlText w:val="%4."/>
      <w:lvlJc w:val="left"/>
      <w:pPr>
        <w:ind w:left="2880" w:hanging="360"/>
      </w:pPr>
    </w:lvl>
    <w:lvl w:ilvl="4" w:tplc="06706136">
      <w:start w:val="1"/>
      <w:numFmt w:val="lowerLetter"/>
      <w:lvlText w:val="%5."/>
      <w:lvlJc w:val="left"/>
      <w:pPr>
        <w:ind w:left="3600" w:hanging="360"/>
      </w:pPr>
    </w:lvl>
    <w:lvl w:ilvl="5" w:tplc="D61478C6">
      <w:start w:val="1"/>
      <w:numFmt w:val="lowerRoman"/>
      <w:lvlText w:val="%6."/>
      <w:lvlJc w:val="right"/>
      <w:pPr>
        <w:ind w:left="4320" w:hanging="180"/>
      </w:pPr>
    </w:lvl>
    <w:lvl w:ilvl="6" w:tplc="AA0AC93C">
      <w:start w:val="1"/>
      <w:numFmt w:val="decimal"/>
      <w:lvlText w:val="%7."/>
      <w:lvlJc w:val="left"/>
      <w:pPr>
        <w:ind w:left="5040" w:hanging="360"/>
      </w:pPr>
    </w:lvl>
    <w:lvl w:ilvl="7" w:tplc="888AB4CE">
      <w:start w:val="1"/>
      <w:numFmt w:val="lowerLetter"/>
      <w:lvlText w:val="%8."/>
      <w:lvlJc w:val="left"/>
      <w:pPr>
        <w:ind w:left="5760" w:hanging="360"/>
      </w:pPr>
    </w:lvl>
    <w:lvl w:ilvl="8" w:tplc="AFBAE6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74D9C"/>
    <w:multiLevelType w:val="hybridMultilevel"/>
    <w:tmpl w:val="64104232"/>
    <w:lvl w:ilvl="0" w:tplc="E8FA53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D69BA8">
      <w:start w:val="1"/>
      <w:numFmt w:val="lowerLetter"/>
      <w:lvlText w:val="%2."/>
      <w:lvlJc w:val="left"/>
      <w:pPr>
        <w:ind w:left="1440" w:hanging="360"/>
      </w:pPr>
    </w:lvl>
    <w:lvl w:ilvl="2" w:tplc="0F72CB7C">
      <w:start w:val="1"/>
      <w:numFmt w:val="lowerRoman"/>
      <w:lvlText w:val="%3."/>
      <w:lvlJc w:val="right"/>
      <w:pPr>
        <w:ind w:left="2160" w:hanging="180"/>
      </w:pPr>
    </w:lvl>
    <w:lvl w:ilvl="3" w:tplc="12EEA4C2">
      <w:start w:val="1"/>
      <w:numFmt w:val="decimal"/>
      <w:lvlText w:val="%4."/>
      <w:lvlJc w:val="left"/>
      <w:pPr>
        <w:ind w:left="2880" w:hanging="360"/>
      </w:pPr>
    </w:lvl>
    <w:lvl w:ilvl="4" w:tplc="2F402862">
      <w:start w:val="1"/>
      <w:numFmt w:val="lowerLetter"/>
      <w:lvlText w:val="%5."/>
      <w:lvlJc w:val="left"/>
      <w:pPr>
        <w:ind w:left="3600" w:hanging="360"/>
      </w:pPr>
    </w:lvl>
    <w:lvl w:ilvl="5" w:tplc="A800B122">
      <w:start w:val="1"/>
      <w:numFmt w:val="lowerRoman"/>
      <w:lvlText w:val="%6."/>
      <w:lvlJc w:val="right"/>
      <w:pPr>
        <w:ind w:left="4320" w:hanging="180"/>
      </w:pPr>
    </w:lvl>
    <w:lvl w:ilvl="6" w:tplc="19E2698A">
      <w:start w:val="1"/>
      <w:numFmt w:val="decimal"/>
      <w:lvlText w:val="%7."/>
      <w:lvlJc w:val="left"/>
      <w:pPr>
        <w:ind w:left="5040" w:hanging="360"/>
      </w:pPr>
    </w:lvl>
    <w:lvl w:ilvl="7" w:tplc="602E1E24">
      <w:start w:val="1"/>
      <w:numFmt w:val="lowerLetter"/>
      <w:lvlText w:val="%8."/>
      <w:lvlJc w:val="left"/>
      <w:pPr>
        <w:ind w:left="5760" w:hanging="360"/>
      </w:pPr>
    </w:lvl>
    <w:lvl w:ilvl="8" w:tplc="B81E03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51"/>
    <w:rsid w:val="003D4D8A"/>
    <w:rsid w:val="00417051"/>
    <w:rsid w:val="0093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5B99"/>
  <w15:docId w15:val="{A9DFF6E3-368C-42AD-9584-A30F2CC8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Calibri" w:hAnsi="Tahoma" w:cs="Tahoma"/>
      <w:sz w:val="16"/>
      <w:szCs w:val="16"/>
      <w:lang w:val="uk-UA"/>
    </w:rPr>
  </w:style>
  <w:style w:type="paragraph" w:styleId="afd">
    <w:name w:val="List Paragraph"/>
    <w:basedOn w:val="a"/>
    <w:uiPriority w:val="34"/>
    <w:qFormat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1982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7</cp:revision>
  <dcterms:created xsi:type="dcterms:W3CDTF">2021-10-27T14:08:00Z</dcterms:created>
  <dcterms:modified xsi:type="dcterms:W3CDTF">2021-11-05T13:55:00Z</dcterms:modified>
</cp:coreProperties>
</file>