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29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384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left="0" w:right="5671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постановою  КМУ  від 31 січня 2007 року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cs="Times New Roman"/>
          <w:sz w:val="28"/>
          <w:szCs w:val="28"/>
          <w:lang w:val="uk-UA"/>
        </w:rPr>
        <w:t xml:space="preserve">6</w:t>
      </w:r>
      <w:r>
        <w:rPr>
          <w:rFonts w:cs="Times New Roman"/>
          <w:sz w:val="28"/>
          <w:szCs w:val="28"/>
          <w:lang w:val="uk-UA"/>
        </w:rPr>
        <w:t xml:space="preserve">94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 надання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матеріальної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допомоги на поховання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осіб, які не досягли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пенсійного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внесеними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скликання від 2</w:t>
      </w:r>
      <w:r>
        <w:rPr>
          <w:color w:val="000000"/>
          <w:sz w:val="28"/>
          <w:szCs w:val="28"/>
          <w:lang w:val="uk-UA"/>
        </w:rPr>
        <w:t xml:space="preserve">3 грудня 2020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45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Кльови О.Н.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ХХХХХ)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 </w:t>
      </w:r>
      <w:r>
        <w:rPr>
          <w:rFonts w:cs="Times New Roman"/>
          <w:sz w:val="28"/>
          <w:szCs w:val="28"/>
          <w:lang w:val="uk-UA"/>
        </w:rPr>
        <w:t xml:space="preserve">Кльові Ользі Назарівні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Федоренко Світлани Юріївни.</w:t>
      </w:r>
      <w:r/>
    </w:p>
    <w:p>
      <w:pPr>
        <w:pStyle w:val="852"/>
        <w:ind w:left="0" w:right="0" w:firstLine="567"/>
        <w:jc w:val="both"/>
        <w:spacing w:after="0" w:afterAutospacing="0" w:before="0" w:beforeAutospacing="0"/>
        <w:tabs>
          <w:tab w:val="left" w:pos="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</w:t>
      </w:r>
      <w:r>
        <w:rPr>
          <w:rFonts w:cs="Times New Roman"/>
          <w:sz w:val="28"/>
          <w:szCs w:val="28"/>
          <w:lang w:val="uk-UA"/>
        </w:rPr>
        <w:t xml:space="preserve">ці.</w:t>
      </w:r>
      <w:r/>
    </w:p>
    <w:p>
      <w:pPr>
        <w:pStyle w:val="852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54</cp:revision>
  <dcterms:created xsi:type="dcterms:W3CDTF">2021-06-02T06:48:00Z</dcterms:created>
  <dcterms:modified xsi:type="dcterms:W3CDTF">2021-11-02T16:25:39Z</dcterms:modified>
</cp:coreProperties>
</file>