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1" w:right="0" w:firstLine="8"/>
        <w:spacing w:lineRule="auto" w:line="24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Додаток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1</w:t>
      </w:r>
      <w:r/>
    </w:p>
    <w:p>
      <w:pPr>
        <w:ind w:left="5661" w:right="0" w:firstLine="8"/>
        <w:spacing w:lineRule="auto" w:line="24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до рішення 12</w:t>
      </w:r>
      <w:r>
        <w:rPr>
          <w:rFonts w:ascii="Times New Roman" w:hAnsi="Times New Roman" w:cs="Times New Roman"/>
          <w:sz w:val="24"/>
          <w:lang w:val="uk-UA"/>
        </w:rPr>
        <w:t xml:space="preserve"> сесії Менської міської ради 8 </w:t>
      </w:r>
      <w:r>
        <w:rPr>
          <w:rFonts w:ascii="Times New Roman" w:hAnsi="Times New Roman" w:cs="Times New Roman"/>
          <w:sz w:val="24"/>
          <w:lang w:val="uk-UA"/>
        </w:rPr>
        <w:t xml:space="preserve">скликання </w:t>
      </w:r>
      <w:r>
        <w:rPr>
          <w:rFonts w:ascii="Times New Roman" w:hAnsi="Times New Roman" w:cs="Times New Roman"/>
          <w:sz w:val="24"/>
          <w:lang w:val="uk-UA"/>
        </w:rPr>
        <w:t xml:space="preserve">26 жовтня 2021 року №</w:t>
      </w:r>
      <w:r>
        <w:rPr>
          <w:rFonts w:ascii="Times New Roman" w:hAnsi="Times New Roman" w:cs="Times New Roman"/>
          <w:sz w:val="24"/>
          <w:lang w:val="uk-UA"/>
        </w:rPr>
        <w:t xml:space="preserve">596</w:t>
      </w:r>
      <w:r>
        <w:rPr>
          <w:rFonts w:ascii="Times New Roman" w:hAnsi="Times New Roman" w:cs="Times New Roman"/>
          <w:sz w:val="24"/>
          <w:lang w:val="uk-UA" w:bidi="ru-RU" w:eastAsia="ru-RU"/>
        </w:rPr>
      </w:r>
      <w:r>
        <w:rPr>
          <w:rFonts w:ascii="Times New Roman" w:hAnsi="Times New Roman" w:cs="Times New Roman"/>
          <w:sz w:val="24"/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СТАТУТ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К</w:t>
      </w:r>
      <w:r>
        <w:rPr>
          <w:rFonts w:ascii="Times New Roman" w:hAnsi="Times New Roman" w:cs="Times New Roman"/>
          <w:b/>
          <w:sz w:val="28"/>
          <w:lang w:val="uk-UA"/>
        </w:rPr>
        <w:t xml:space="preserve">омунальної установи </w:t>
      </w:r>
      <w:r>
        <w:rPr>
          <w:sz w:val="28"/>
        </w:rPr>
      </w:r>
      <w:r>
        <w:rPr>
          <w:rFonts w:ascii="Times New Roman" w:hAnsi="Times New Roman" w:cs="Times New Roman"/>
          <w:b/>
          <w:sz w:val="28"/>
          <w:lang w:val="uk-UA"/>
        </w:rPr>
        <w:t xml:space="preserve">«Центр з обслуговування освітніх установ </w:t>
      </w:r>
      <w:r>
        <w:rPr>
          <w:sz w:val="28"/>
        </w:rPr>
      </w:r>
      <w:r>
        <w:rPr>
          <w:rFonts w:ascii="Times New Roman" w:hAnsi="Times New Roman" w:cs="Times New Roman"/>
          <w:b/>
          <w:sz w:val="28"/>
          <w:lang w:val="uk-UA"/>
        </w:rPr>
        <w:t xml:space="preserve">та закладів освіти» </w:t>
      </w:r>
      <w:r>
        <w:rPr>
          <w:sz w:val="28"/>
        </w:rPr>
      </w:r>
      <w:r>
        <w:rPr>
          <w:rFonts w:ascii="Times New Roman" w:hAnsi="Times New Roman" w:cs="Times New Roman"/>
          <w:b/>
          <w:sz w:val="28"/>
          <w:lang w:val="uk-UA"/>
        </w:rPr>
        <w:t xml:space="preserve">Менської міської ради</w:t>
      </w:r>
      <w:r>
        <w:rPr>
          <w:sz w:val="28"/>
        </w:rPr>
      </w:r>
    </w:p>
    <w:p>
      <w:pPr>
        <w:pStyle w:val="642"/>
        <w:ind w:right="20"/>
        <w:jc w:val="left"/>
        <w:spacing w:lineRule="auto" w:line="240" w:after="0" w:afterAutospacing="0"/>
        <w:shd w:val="clear" w:fill="auto" w:color="auto"/>
        <w:rPr>
          <w:lang w:val="uk-UA" w:bidi="ru-RU" w:eastAsia="ru-RU"/>
        </w:rPr>
      </w:pPr>
      <w:r>
        <w:rPr>
          <w:lang w:val="uk-UA" w:bidi="ru-RU" w:eastAsia="ru-RU"/>
        </w:rPr>
      </w:r>
      <w:r/>
    </w:p>
    <w:p>
      <w:pPr>
        <w:shd w:val="nil"/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  <w:br w:type="page"/>
      </w:r>
      <w:r>
        <w:rPr>
          <w:sz w:val="28"/>
          <w:szCs w:val="28"/>
          <w:highlight w:val="none"/>
          <w:lang w:val="uk-UA"/>
        </w:rPr>
      </w:r>
    </w:p>
    <w:p>
      <w:pPr>
        <w:pStyle w:val="642"/>
        <w:ind w:right="20"/>
        <w:spacing w:lineRule="auto" w:line="240" w:after="0" w:afterAutospacing="0"/>
        <w:shd w:val="clear" w:fill="auto" w:color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ru-RU" w:eastAsia="ru-RU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ЗАГАЛЬНІ ПОЛОЖЕННЯ.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Комунальна установа «Центр з обслуговування освітніх установ та закладів освіти»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(далі - Комунальна установа)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належить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комунальної власності Менської міської ради, яка представляє Менську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ріальну громаду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8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Засновником Комунальної установи є Менська міська рада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(далі - Засновник), яка представляє інтереси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територіальної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громади. Засновник здійснює фінансування, матеріально-технічне забезпечення, надає необхідні будівлі, інженерні комунікації, обладнання, транспортні засоби, встановлює їх статус.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5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Найменування Комунальної установи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Повне: Комунальна установа «Центр з обслуговування освітніх установ та закладів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освіти»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Скорочене: </w:t>
      </w:r>
      <w:r>
        <w:rPr>
          <w:rFonts w:ascii="Times New Roman" w:hAnsi="Times New Roman" w:cs="Times New Roman" w:eastAsia="Times New Roman"/>
          <w:sz w:val="28"/>
        </w:rPr>
        <w:t xml:space="preserve">КУ ЦООУЗО.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5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Місце знаходження: 15600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Чернігівська область, м. Мена, вул.Титаренка Сергія,7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Комунальна установа в своїй діяльності керується Конституцією України, Господарським та Цивільним кодексами України, Законами України «Про освіту», «Про дошкільну освіту», «Про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загальну середню освіту», «Про позашкільну освіту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бухгалтерський облік та фінансову звітність в Україні» (зі змінами), іншими нормативно-правовими актами у галузі освіти, наказами та розпорядженнями Міністерст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ва освіти і науки України, Управління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освіти та науки Чернігівської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обласної державної адміністрації, іншими нормативно-правовими актами, що регламентують бюджетні відносини і фінансово-господарську діяльність бюджетних ус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танов, рішеннями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ради, 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аказами відділу освіти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власним Статутом, затвердженим Засновником.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Комунальна установа є юридичною особою з дня її державної реєстрації, має самостійний баланс, гербову печатку, штамп, бланки з відповідними реквізитами, рахунки в органах Державного казначейства та банках, ідентифікаційний номер та інші необхідні атрибути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8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Комунальна установа є неприбутковою кому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нальною установою. Забороняється розподіл отриманих доходів (прибутків)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разі припинення юридичної особи (у результаті її ліквідації, злиття, поділу, приєднання або перетворення) здійснюється передача активів одній або кільком неприбутковим організаціям відповідного виду або зарахування до доходу бюджету.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8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Доходи (прибутки) комунальної установи використовуються виключно для фінансування видатків 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її утримання, реалізації мети,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цілей, завдань, та напрямів діяльності, визначених цим Статутом.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</w:p>
    <w:p>
      <w:pPr>
        <w:pStyle w:val="642"/>
        <w:ind w:right="20"/>
        <w:spacing w:lineRule="auto" w:line="240" w:after="0" w:afterAutospacing="0"/>
        <w:shd w:val="clear" w:fill="auto" w:color="auto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2. МЕТА 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ПРЕДМЕТДІЯЛЬНОСТІ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КОМУНАЛЬНОЇ УСТАНОВИ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2400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ru-RU" w:eastAsia="ru-RU"/>
        </w:rPr>
        <w:t xml:space="preserve">Метою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діяльності Комунальної установи є: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240"/>
        <w:spacing w:lineRule="auto" w:line="240" w:after="0" w:afterAutospacing="0" w:before="0"/>
        <w:shd w:val="clear" w:fill="auto" w:color="auto"/>
        <w:tabs>
          <w:tab w:val="left" w:pos="48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Забезпечення організації бухгалтерського обліку та звітності по виконанню кошторису видатків закладів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установ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освіти громади, які утримуються за рахунок бюджетів усіх рівнів (далі - заклади освіти) на підставі договорів та довіреностей.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240"/>
        <w:spacing w:lineRule="auto" w:line="240" w:after="0" w:afterAutospacing="0" w:before="0"/>
        <w:shd w:val="clear" w:fill="auto" w:color="auto"/>
        <w:tabs>
          <w:tab w:val="left" w:pos="4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Реалізація державної політики України у сфері матеріально-технічного забезпечення закладів освіти, організації роботи з охорони праці.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240"/>
        <w:spacing w:lineRule="auto" w:line="240" w:after="0" w:afterAutospacing="0" w:before="0"/>
        <w:shd w:val="clear" w:fill="auto" w:color="auto"/>
        <w:tabs>
          <w:tab w:val="left" w:pos="4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2.3.Надання правової допомоги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закладам освіти та освітнім установам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240"/>
        <w:spacing w:lineRule="auto" w:line="240" w:after="0" w:afterAutospacing="0" w:before="0"/>
        <w:shd w:val="clear" w:fill="auto" w:color="auto"/>
        <w:tabs>
          <w:tab w:val="left" w:pos="4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2.4.Сприяння зміцненню навчальної, матеріально-технічної бази закладів та установ освіти, загальноосвітніх, дошкільних та позашкільних навчальних закладів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інших закладів та установ, які працюють в галузі освіти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240"/>
        <w:spacing w:lineRule="auto" w:line="240" w:after="0" w:afterAutospacing="0" w:before="0"/>
        <w:shd w:val="clear" w:fill="auto" w:color="auto"/>
        <w:tabs>
          <w:tab w:val="left" w:pos="4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2.5.Здійснення контролю  за експлуатацією та станом: будівель, об’єктів, опалювальних систем, водопостачання, автотранспорту, котелень, системи електропостачання, які знаходяться на балансі закладів та установ освіти.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240"/>
        <w:spacing w:lineRule="auto" w:line="240" w:after="0" w:afterAutospacing="0" w:before="0"/>
        <w:shd w:val="clear" w:fill="auto" w:color="auto"/>
        <w:tabs>
          <w:tab w:val="left" w:pos="4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Організація проведення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публічних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закупівель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установ освіти.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240"/>
        <w:spacing w:lineRule="auto" w:line="240" w:after="0" w:afterAutospacing="0" w:before="0"/>
        <w:shd w:val="clear" w:fill="auto" w:color="auto"/>
        <w:tabs>
          <w:tab w:val="left" w:pos="4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2.7. Сприяє забезпеченню закладів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освіти навчально-наочними посібниками, навчальним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обладнанням, інструментами, господарським та канцелярським обладнанням, меблями, інвентарем, комп’ютерною технікою, продуктами харчування та ремонтними і будівельними матеріалами, здійснення належного контролю за їх економним та раціональним використанням.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Предметом діяльності Комунальної установи є: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240"/>
        <w:spacing w:lineRule="auto" w:line="240" w:after="0" w:afterAutospacing="0" w:before="0"/>
        <w:shd w:val="clear" w:fill="auto" w:color="auto"/>
        <w:tabs>
          <w:tab w:val="left" w:pos="49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Ведення бухгалтерського обл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іку фінансово-господарської діяльності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матизованої системи бухгалтерського обліку та звітності, складання на підставі даних бухгалтерського обліку фінансової та бюджетної звітності, а також державної статистичної, зведеної та іншої звітності (декларації) в порядку, встановленому законодавством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закладів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установ освіти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підставі договорів та довіреностей.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8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Координація діяльності керівників закладів освіти у частині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матеріально-технічного забезпечення, освітнього процесу, підготовки до осінньо-зимового періоду, утримання будівель та комунікацій у належному стані, проведення поточних та капітальних робіт. Здійснення контролю за пожежною охороною, охороною праці та тех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нікою безпеки у закладах освіти, надання послуги іншим закладам та установам, які працюють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галузі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освіти.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2"/>
        <w:ind w:right="20"/>
        <w:spacing w:lineRule="auto" w:line="240" w:after="0" w:afterAutospacing="0"/>
        <w:shd w:val="clear" w:fill="auto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ФУНКЦІЇ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ТА ОРГАНІЗАЦІЙНА СТРУКТУРА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КОМУНАЛЬНОЇ УСТАНОВИ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6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Комунальна установа здійснює ведення бухгалтерського обліку та фінансової звітності освітніх установ та закладів освіти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самостійно планує свою діяльність, виходячи із завдань, передбачених цим Статутом.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46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Штатний розпис Комунальної установи затверджується керівником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3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Працівники Комунальної установи приймаються та звільняються директором комунальної установи.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3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Підрозділи Комунальної установи діють відповідно до Положень про них, які затверджуються директором Комунальної установи.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4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Взаємовідносини між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Комунальною установою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освітніми установами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закладами освіти визначаються на підставі договорів про надання послуг.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Комунальна установа обслуговує освітні установи та заклади освіти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Граничну чисельність штатних працівників та структуру Комунальної установи затверджує Засновник.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2"/>
        <w:ind w:right="20"/>
        <w:spacing w:lineRule="auto" w:line="240" w:after="0" w:afterAutospacing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РЕЖИМ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РОБОТИ КОМУНАЛЬНОЇ УСТАНОВИ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4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Комунальна установа працює за п’ятиденним робочим тижнем,.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4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Щоденний графік роботи Комунальної установи та її працівників затверджується Правилами внутрішнього трудового розпорядку.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2"/>
        <w:ind w:right="20"/>
        <w:spacing w:lineRule="auto" w:line="240" w:after="0" w:afterAutospacing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646"/>
          <w:rFonts w:ascii="Times New Roman" w:hAnsi="Times New Roman" w:cs="Times New Roman" w:eastAsia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УСТАНОВОЮ </w:t>
      </w:r>
      <w:r>
        <w:rPr>
          <w:rStyle w:val="646"/>
          <w:rFonts w:ascii="Times New Roman" w:hAnsi="Times New Roman" w:cs="Times New Roman" w:eastAsia="Times New Roman"/>
          <w:b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УПОВНОВАЖЕННЯ ТРУДОВОГО КОЛЕКТИВУ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4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мунальна установа перебуває в управлінні та 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езпосередньому підпорядкуванні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ідділу освіти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 освіти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є головним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розпорядником бюджетних коштів 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омунальної установи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Начальник відділу освіти безпосередньо здійснює контроль за напрямами діяльності Комунальної установи, а саме: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6"/>
        </w:numPr>
        <w:spacing w:lineRule="auto" w:line="240" w:after="0" w:afterAutospacing="0" w:before="0"/>
        <w:shd w:val="clear" w:fill="auto" w:color="auto"/>
        <w:tabs>
          <w:tab w:val="left" w:pos="2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обсягами бюджетного фінансування закладів освіти, які перебувають у комунальній власності, аналізує їх використання;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6"/>
        </w:numPr>
        <w:spacing w:lineRule="auto" w:line="240" w:after="0" w:afterAutospacing="0" w:before="0"/>
        <w:shd w:val="clear" w:fill="auto" w:color="auto"/>
        <w:tabs>
          <w:tab w:val="left" w:pos="2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фінансовою та матеріально-технічною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діяльністю Комунальної установи.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3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Комунальну установу очолює директор.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Директор Комунальної установи призначається мі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ським головою за погодженням з 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енською міською радою (на сесії), на умовах контракту. Форма контракту затверджується рішенням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firstLine="708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Директор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Комунальної установи може бути громадянин України, який має вищу освіту на рівні спеціаліста, або магістра, стаж роботи не менше п’яти років.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3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Директор Комунальної установи: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6"/>
        </w:numPr>
        <w:spacing w:lineRule="auto" w:line="240" w:after="0" w:afterAutospacing="0" w:before="0"/>
        <w:shd w:val="clear" w:fill="auto" w:color="auto"/>
        <w:tabs>
          <w:tab w:val="left" w:pos="2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має право першого підпису на фінансових документах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установи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6"/>
        </w:numPr>
        <w:spacing w:lineRule="auto" w:line="240" w:after="0" w:afterAutospacing="0" w:before="0"/>
        <w:shd w:val="clear" w:fill="auto" w:color="auto"/>
        <w:tabs>
          <w:tab w:val="left" w:pos="2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здійснює керівництво колективом Комунальної установи, забезпечує раціональний добір і розстановку кадрів, створює належні умови для підвищення фахового рівня працівників;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6"/>
        </w:numPr>
        <w:spacing w:lineRule="auto" w:line="240" w:after="0" w:afterAutospacing="0" w:before="0"/>
        <w:shd w:val="clear" w:fill="auto" w:color="auto"/>
        <w:tabs>
          <w:tab w:val="left" w:pos="2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створює необхідні умови для роботи працівників: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забезпечує дотримання вимог санітарно-гігієнічних та протипожежних норм, техніки безпеки;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розпоряджається в установленому порядку майном і коштами Комунальної установи;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контролює цільове використанням Комунальною установою бюджетних коштів та майна, використання залучених коштів на будівництво та ремонтні роботи;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укладає договори, видає доручення в межах своїх повноважень;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6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організовує виконання кошторису доходів і видатків, укладає угоди з юридичними та фізичними особами, у встановленому порядку відкриває рахунки в органах Державного казначейства;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приймає та звільняє працівників Комунальної установи згідно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із законодавством України про працю;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установлює надбавки, доплати, премії та надає матеріальну допомогу працівникам Комунальної установи відповідно до чинного законодавства України;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представляє Комунальну установу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всіх підприємствах, установах та організаціях і відповідає перед Засновни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 та відділом освіти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ради за результати діяльності;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видає у межах своєї компетенції накази, які обов’язкові для всіх підрозділів та працівників Комунальної установи та контролює їх виконання;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6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застосовує заходи заохочення та дисциплінарного стягнення до працівників Комунальної установи;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затверджує посадові обов’язки працівників Комунальної установи;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звітує про діяльність Комунальної установи перед Засновник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 та відділом освіти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надає з дозволу Засновника в оренду фізичним і юридични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 особам не експлуатоване майно в установленому законодавством порядку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6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несе відповідальність за виконання покладених на Комунальну установу завдань, результати фінансово-господарської діяльності, стан і збереження майна, переданого в оперативне управління Комунальній установі;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9"/>
        </w:numPr>
        <w:spacing w:lineRule="auto" w:line="240" w:after="0" w:afterAutospacing="0" w:before="0"/>
        <w:shd w:val="clear" w:fill="auto" w:color="auto"/>
        <w:tabs>
          <w:tab w:val="left" w:pos="25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виконує інші обов’язки відповідно до посадової інструкції.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Трудовий колектив Комунальної установи: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72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5.4.1.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Трудовий колектив Комунальної установи складають громадяни, які беруть участь у її діяльності на основі трудового договору.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Органом громадського самоврядування Комунальної установи є загальні збори колективу, які скликаються не менше одного разу на рік.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загальних зборів приймаються більшістю голосів від загальної кількості присутніх.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Загальні збори колективу: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70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5.6.1.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Погоджують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колективний договір з адміністрацією Комунальної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установи.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28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5.6.2.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Погоджують правила внутрішнього трудового розпорядку Комунальної установи.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5.6.3.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Розглядають результати роботи трудового колективу за рік, обговорення інших важливих питань Комунальної установи.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2"/>
        <w:ind w:right="20"/>
        <w:spacing w:lineRule="auto" w:line="240" w:after="0" w:afterAutospacing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 ФІНАНСОВО-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ГОСПОДАРСЬКА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КОМУНАЛЬНОЇ УСТАНОВИ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-1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Фінансово - господарську діяльність Комунальна установа здійснює на основі кошторису, затвердженого головним розпорядником коштів.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 освіти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ради є головним розпорядником бюджетних коштів </w:t>
      </w:r>
      <w:r>
        <w:rPr>
          <w:rFonts w:ascii="Times New Roman" w:hAnsi="Times New Roman" w:cs="Times New Roman" w:eastAsia="Times New Roman"/>
          <w:sz w:val="28"/>
          <w:szCs w:val="28"/>
          <w:lang w:val="uk-UA" w:bidi="ru-RU" w:eastAsia="ru-RU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установи.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Джерелами фінан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сування Комунальної установи 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28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кошти бюджету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які враховуються при визначенні міжбюджетних трансфертів на галузь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Освіта»;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16"/>
        </w:numPr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капітальні вкладення, субвенції, дотації з бюджетів всіх рівнів;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16"/>
        </w:numPr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добровільні і цільові внески фізичних і юридичних осіб;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16"/>
        </w:numPr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кошти від надання платних послуг та інших видів господарської діяльності: здача в оренду приміщень, споруд, обладнання, автотранспорту;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16"/>
        </w:numPr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інші джерела, не заборонені чинним законодавством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-1"/>
        <w:spacing w:lineRule="auto" w:line="240" w:after="0" w:afterAutospacing="0" w:before="0"/>
        <w:shd w:val="clear" w:fill="auto" w:color="auto"/>
        <w:tabs>
          <w:tab w:val="left" w:pos="0" w:leader="none"/>
          <w:tab w:val="left" w:pos="126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Кошти Комунальної установи зберігаються на її рахунках в органах Державного казначейства і знаходяться в повному її розпорядженні.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  <w:tab w:val="left" w:pos="126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Комунальна установа у процесі провадження фінансово-господарської діяльності має право: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16"/>
        </w:numPr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представляти інтереси закладів та установ освіти в установленому 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орядку з питань, що відносяться до її компетенції, в органах державної влади, органах місцевого самоврядування, фондах загальнообов’язкового державного соціального страхування, підприємствах, установах та організаціях, судах незалежного від форм власності;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16"/>
        </w:numPr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розвивати власну матеріальну базу;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16"/>
        </w:numPr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бути користувачем рухомого і нерухомого майна, розпоряджатися майном згідно чинного законодавства;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16"/>
        </w:numPr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мати у своєму розпорядженні автотранспортні засоби;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numPr>
          <w:ilvl w:val="0"/>
          <w:numId w:val="16"/>
        </w:numPr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виконувати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інші дії, що не суперечать чинному законодавству та цьому Статуту.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  <w:tab w:val="left" w:pos="126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Ведення діловодства, бухгалтерського обліку та звітності в Комунальній установі здійснюється в порядку, визначеному нормативно-правовими актами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2"/>
        <w:ind w:right="20"/>
        <w:spacing w:lineRule="auto" w:line="240" w:after="0" w:afterAutospacing="0"/>
        <w:shd w:val="clear" w:fill="auto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МАТЕРІАЛЬНО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-ТЕХНІЧНА БАЗА КОМУНАЛЬНОЇ УСТАНОВИ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7.1.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Матеріально-технічна база Комунальної установи включає: основні фонди та обігові кошти, інші матеріальні і нематеріальні активи, цінності, вартість яких відображається в балансі установи.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7.2.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Усе майно є власністю громади та закріплюється за Комунальною установою на правах оперативного управління, відповідно до чинного законодавства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7.3.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Відчуження основних засобів Комунальної уста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нови (списання чи передача майна) здійснюється тільки за рішенням Засновника. Комунальна установа має право передавати в оренду належне йому на праві оперативного управління майно у встановленому чинним законодавством порядку тільки за рішенням Засновника.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7.4.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Збитки, завдані Комунальній установі внаслідок порушення її майнових прав іншими юридичними та фізичними особами, відшкодовуються відповідно до законодавства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-1"/>
        <w:jc w:val="center"/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РЕОРГАНІЗАЦІЯ АБО ЛІКВІДАЦІЯ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КОМУНАЛЬНОЇ УСТАНОВИ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8.1.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Ліквідація або реорганізація (злиття, приєднання, поділ, виділення, перетворення) Комунальної установи проводиться згідно з порядком, передбаченим діючим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  <w:tab w:val="left" w:pos="126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8.2.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Ліквідація або реорганізація (злиття, приєднання, поділ, виділення, перетворення) Комунальної установи здійснюється за рішенням Засно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вника - рішенням сесії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або Господарського суду згідно з чинним законодавством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  <w:tab w:val="left" w:pos="126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8.3.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Ліквідація Комунальної установи здійснюється ліквідаційною комісією, яка утворюється Засновником. До складу ліквідаційної комісії входять представники Засновника. Порядок і строки проведення ліквідації, а також строк для заяви претензій кредиторам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визначаються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Засновником відповідно до чинного законодавства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  <w:tab w:val="left" w:pos="126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8.4.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моменту призначення ліквідаційної комісії до неї переходять повноваження з управління Комунальною установою.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Ліквідаційна комісія складає ліквідаційний баланс Комунальної установи і подає його Засновнику, який призначив ліквідаційну комісію.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Кредитори та інші юридичні особи, які перебувають у договірних відносинах із Комунальною установою, яка ліквідується, отримують повідомлення про його ліквідацію у письмовій формі.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8.5.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 реорганізації або ліквідації Комунальної установи працівникам, які звільняються, гарантується додержання їх прав та інтересів відповідно до трудового законодавства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-14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8.6.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разі реорганізації Комунальної установи її права та обов’язки переходять до правонаступників.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Style w:val="648"/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shd w:val="clear" w:fill="auto" w:color="auto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8.7.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Ліквідація Комунальної установи вважається завершеною, а Комунальна установа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акою, що припинила свою діяльність, з моменту внесення запису про це до Державного реєстру.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ind w:right="-1"/>
        <w:jc w:val="center"/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Style w:val="648"/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Style w:val="648"/>
          <w:rFonts w:ascii="Times New Roman" w:hAnsi="Times New Roman" w:cs="Times New Roman" w:eastAsia="Times New Roman"/>
          <w:b w:val="false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ПРИКІНЦЕВІ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648"/>
          <w:rFonts w:ascii="Times New Roman" w:hAnsi="Times New Roman" w:cs="Times New Roman" w:eastAsia="Times New Roman"/>
          <w:b w:val="false"/>
          <w:sz w:val="28"/>
          <w:szCs w:val="28"/>
        </w:rPr>
        <w:t xml:space="preserve">9.1.</w:t>
      </w:r>
      <w:r>
        <w:rPr>
          <w:rStyle w:val="648"/>
          <w:rFonts w:ascii="Times New Roman" w:hAnsi="Times New Roman" w:cs="Times New Roman" w:eastAsia="Times New Roman"/>
          <w:b w:val="false"/>
          <w:sz w:val="28"/>
          <w:szCs w:val="28"/>
        </w:rPr>
        <w:t xml:space="preserve">Засновником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затверджується Статут Комунальної установи, </w:t>
      </w:r>
      <w:r>
        <w:rPr>
          <w:rStyle w:val="648"/>
          <w:rFonts w:ascii="Times New Roman" w:hAnsi="Times New Roman" w:cs="Times New Roman" w:eastAsia="Times New Roman"/>
          <w:b w:val="false"/>
          <w:sz w:val="28"/>
          <w:szCs w:val="28"/>
        </w:rPr>
        <w:t xml:space="preserve">а також вносяться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нього змі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 та доповнення.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2"/>
        <w:jc w:val="both"/>
        <w:spacing w:lineRule="auto" w:line="240" w:after="0" w:afterAutospacing="0"/>
        <w:shd w:val="clear" w:fill="auto" w:color="auto"/>
        <w:tabs>
          <w:tab w:val="left" w:pos="-142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9.2.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Зміни </w:t>
      </w:r>
      <w:r>
        <w:rPr>
          <w:rStyle w:val="649"/>
          <w:rFonts w:ascii="Times New Roman" w:hAnsi="Times New Roman" w:cs="Times New Roman" w:eastAsia="Times New Roman"/>
          <w:sz w:val="28"/>
          <w:szCs w:val="28"/>
        </w:rPr>
        <w:t xml:space="preserve">і доповнення до Статуту набирають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чинність </w:t>
      </w:r>
      <w:r>
        <w:rPr>
          <w:rStyle w:val="649"/>
          <w:rFonts w:ascii="Times New Roman" w:hAnsi="Times New Roman" w:cs="Times New Roman" w:eastAsia="Times New Roman"/>
          <w:sz w:val="28"/>
          <w:szCs w:val="28"/>
        </w:rPr>
        <w:t xml:space="preserve">з моменту їх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державної реєстрації відповідно </w:t>
      </w:r>
      <w:r>
        <w:rPr>
          <w:rStyle w:val="649"/>
          <w:rFonts w:ascii="Times New Roman" w:hAnsi="Times New Roman" w:cs="Times New Roman" w:eastAsia="Times New Roman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запису </w:t>
      </w:r>
      <w:r>
        <w:rPr>
          <w:rStyle w:val="649"/>
          <w:rFonts w:ascii="Times New Roman" w:hAnsi="Times New Roman" w:cs="Times New Roman" w:eastAsia="Times New Roman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Єдиного </w:t>
      </w:r>
      <w:r>
        <w:rPr>
          <w:rStyle w:val="649"/>
          <w:rFonts w:ascii="Times New Roman" w:hAnsi="Times New Roman" w:cs="Times New Roman" w:eastAsia="Times New Roman"/>
          <w:sz w:val="28"/>
          <w:szCs w:val="28"/>
        </w:rPr>
        <w:t xml:space="preserve">державного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реєстру </w:t>
      </w:r>
      <w:r>
        <w:rPr>
          <w:rStyle w:val="649"/>
          <w:rFonts w:ascii="Times New Roman" w:hAnsi="Times New Roman" w:cs="Times New Roman" w:eastAsia="Times New Roman"/>
          <w:sz w:val="28"/>
          <w:szCs w:val="28"/>
        </w:rPr>
        <w:t xml:space="preserve">юридичних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і фізичних осіб-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підприємців.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3"/>
        <w:spacing w:lineRule="auto" w:line="240" w:after="0" w:afterAutospacing="0" w:before="0"/>
        <w:shd w:val="clear" w:fill="auto" w:color="auto"/>
        <w:tabs>
          <w:tab w:val="left" w:pos="-14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648"/>
          <w:rFonts w:ascii="Times New Roman" w:hAnsi="Times New Roman" w:cs="Times New Roman" w:eastAsia="Times New Roman"/>
          <w:b w:val="false"/>
          <w:sz w:val="28"/>
          <w:szCs w:val="28"/>
        </w:rPr>
        <w:t xml:space="preserve">9.</w:t>
      </w:r>
      <w:r>
        <w:rPr>
          <w:rStyle w:val="648"/>
          <w:rFonts w:ascii="Times New Roman" w:hAnsi="Times New Roman" w:cs="Times New Roman" w:eastAsia="Times New Roman"/>
          <w:b w:val="false"/>
          <w:sz w:val="28"/>
          <w:szCs w:val="28"/>
        </w:rPr>
        <w:t xml:space="preserve">3</w:t>
      </w:r>
      <w:r>
        <w:rPr>
          <w:rStyle w:val="648"/>
          <w:rFonts w:ascii="Times New Roman" w:hAnsi="Times New Roman" w:cs="Times New Roman" w:eastAsia="Times New Roman"/>
          <w:b w:val="false"/>
          <w:sz w:val="28"/>
          <w:szCs w:val="28"/>
        </w:rPr>
        <w:t xml:space="preserve">.</w:t>
      </w:r>
      <w:r>
        <w:rPr>
          <w:rStyle w:val="648"/>
          <w:rFonts w:ascii="Times New Roman" w:hAnsi="Times New Roman" w:cs="Times New Roman" w:eastAsia="Times New Roman"/>
          <w:b w:val="false"/>
          <w:sz w:val="28"/>
          <w:szCs w:val="28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всьому, що не врегульовано цим Статутом, Комунальна установа </w:t>
      </w:r>
      <w:r>
        <w:rPr>
          <w:rStyle w:val="648"/>
          <w:rFonts w:ascii="Times New Roman" w:hAnsi="Times New Roman" w:cs="Times New Roman" w:eastAsia="Times New Roman"/>
          <w:b w:val="false"/>
          <w:sz w:val="28"/>
          <w:szCs w:val="28"/>
        </w:rPr>
        <w:t xml:space="preserve">керується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чинним законодавством України.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  <w:tab/>
      <w:t xml:space="preserve">продовження додатка</w:t>
    </w:r>
    <w:r>
      <w:rPr>
        <w:rFonts w:ascii="Times New Roman" w:hAnsi="Times New Roman" w:cs="Times New Roman" w:eastAsia="Times New Roman"/>
        <w:i/>
        <w:sz w:val="24"/>
      </w:rPr>
    </w:r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9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5.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8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5.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5"/>
  </w:num>
  <w:num w:numId="5">
    <w:abstractNumId w:val="18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  <w:num w:numId="19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6"/>
    <w:next w:val="63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3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6"/>
    <w:next w:val="63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6"/>
    <w:next w:val="63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6"/>
    <w:next w:val="63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6"/>
    <w:next w:val="63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6"/>
    <w:next w:val="63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6"/>
    <w:next w:val="63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6"/>
    <w:next w:val="63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6"/>
    <w:next w:val="63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6"/>
    <w:next w:val="63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7"/>
    <w:link w:val="32"/>
    <w:uiPriority w:val="10"/>
    <w:rPr>
      <w:sz w:val="48"/>
      <w:szCs w:val="48"/>
    </w:rPr>
  </w:style>
  <w:style w:type="paragraph" w:styleId="34">
    <w:name w:val="Subtitle"/>
    <w:basedOn w:val="636"/>
    <w:next w:val="63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7"/>
    <w:link w:val="34"/>
    <w:uiPriority w:val="11"/>
    <w:rPr>
      <w:sz w:val="24"/>
      <w:szCs w:val="24"/>
    </w:rPr>
  </w:style>
  <w:style w:type="paragraph" w:styleId="36">
    <w:name w:val="Quote"/>
    <w:basedOn w:val="636"/>
    <w:next w:val="63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6"/>
    <w:next w:val="63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7"/>
    <w:link w:val="40"/>
    <w:uiPriority w:val="99"/>
  </w:style>
  <w:style w:type="paragraph" w:styleId="42">
    <w:name w:val="Footer"/>
    <w:basedOn w:val="63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7"/>
    <w:link w:val="42"/>
    <w:uiPriority w:val="99"/>
  </w:style>
  <w:style w:type="paragraph" w:styleId="44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7"/>
    <w:uiPriority w:val="99"/>
    <w:unhideWhenUsed/>
    <w:rPr>
      <w:vertAlign w:val="superscript"/>
    </w:rPr>
  </w:style>
  <w:style w:type="paragraph" w:styleId="176">
    <w:name w:val="endnote text"/>
    <w:basedOn w:val="63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7"/>
    <w:uiPriority w:val="99"/>
    <w:semiHidden/>
    <w:unhideWhenUsed/>
    <w:rPr>
      <w:vertAlign w:val="superscript"/>
    </w:rPr>
  </w:style>
  <w:style w:type="paragraph" w:styleId="179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spacing w:lineRule="auto" w:line="276" w:after="200"/>
    </w:p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 w:customStyle="1">
    <w:name w:val="Основной текст (3)_"/>
    <w:basedOn w:val="637"/>
    <w:link w:val="642"/>
    <w:rPr>
      <w:rFonts w:ascii="Times New Roman" w:hAnsi="Times New Roman" w:cs="Times New Roman" w:eastAsia="Times New Roman"/>
      <w:b/>
      <w:bCs/>
      <w:shd w:val="clear" w:fill="FFFFFF" w:color="auto"/>
    </w:rPr>
  </w:style>
  <w:style w:type="character" w:styleId="641" w:customStyle="1">
    <w:name w:val="Основной текст (2)_"/>
    <w:basedOn w:val="637"/>
    <w:link w:val="643"/>
    <w:rPr>
      <w:rFonts w:ascii="Times New Roman" w:hAnsi="Times New Roman" w:cs="Times New Roman" w:eastAsia="Times New Roman"/>
      <w:shd w:val="clear" w:fill="FFFFFF" w:color="auto"/>
    </w:rPr>
  </w:style>
  <w:style w:type="paragraph" w:styleId="642" w:customStyle="1">
    <w:name w:val="Основной текст (3)"/>
    <w:basedOn w:val="636"/>
    <w:link w:val="640"/>
    <w:rPr>
      <w:rFonts w:ascii="Times New Roman" w:hAnsi="Times New Roman" w:cs="Times New Roman" w:eastAsia="Times New Roman"/>
      <w:b/>
      <w:bCs/>
    </w:rPr>
    <w:pPr>
      <w:jc w:val="center"/>
      <w:spacing w:lineRule="atLeast" w:line="0" w:after="360"/>
      <w:shd w:val="clear" w:fill="FFFFFF" w:color="auto"/>
      <w:widowControl w:val="off"/>
    </w:pPr>
  </w:style>
  <w:style w:type="paragraph" w:styleId="643" w:customStyle="1">
    <w:name w:val="Основной текст (2)"/>
    <w:basedOn w:val="636"/>
    <w:link w:val="641"/>
    <w:rPr>
      <w:rFonts w:ascii="Times New Roman" w:hAnsi="Times New Roman" w:cs="Times New Roman" w:eastAsia="Times New Roman"/>
    </w:rPr>
    <w:pPr>
      <w:jc w:val="both"/>
      <w:spacing w:lineRule="exact" w:line="274" w:after="0" w:before="360"/>
      <w:shd w:val="clear" w:fill="FFFFFF" w:color="auto"/>
      <w:widowControl w:val="off"/>
    </w:pPr>
  </w:style>
  <w:style w:type="character" w:styleId="644" w:customStyle="1">
    <w:name w:val="Основной текст (2) + 4 pt;Курсив;Интервал 3 pt"/>
    <w:basedOn w:val="641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60"/>
      <w:position w:val="0"/>
      <w:sz w:val="8"/>
      <w:szCs w:val="8"/>
      <w:u w:val="none"/>
      <w:shd w:val="clear" w:fill="FFFFFF" w:color="auto"/>
      <w:lang w:val="uk-UA" w:bidi="uk-UA" w:eastAsia="uk-UA"/>
    </w:rPr>
  </w:style>
  <w:style w:type="character" w:styleId="645" w:customStyle="1">
    <w:name w:val="Основной текст (5)_"/>
    <w:basedOn w:val="637"/>
    <w:link w:val="647"/>
    <w:rPr>
      <w:rFonts w:ascii="Times New Roman" w:hAnsi="Times New Roman" w:cs="Times New Roman" w:eastAsia="Times New Roman"/>
      <w:b/>
      <w:bCs/>
      <w:shd w:val="clear" w:fill="FFFFFF" w:color="auto"/>
    </w:rPr>
  </w:style>
  <w:style w:type="character" w:styleId="646" w:customStyle="1">
    <w:name w:val="Основной текст (5) + Не полужирный"/>
    <w:basedOn w:val="645"/>
    <w:rPr>
      <w:rFonts w:ascii="Times New Roman" w:hAnsi="Times New Roman" w:cs="Times New Roman" w:eastAsia="Times New Roman"/>
      <w:b/>
      <w:bCs/>
      <w:color w:val="000000"/>
      <w:spacing w:val="0"/>
      <w:position w:val="0"/>
      <w:sz w:val="24"/>
      <w:szCs w:val="24"/>
      <w:shd w:val="clear" w:fill="FFFFFF" w:color="auto"/>
      <w:lang w:val="uk-UA" w:bidi="uk-UA" w:eastAsia="uk-UA"/>
    </w:rPr>
  </w:style>
  <w:style w:type="paragraph" w:styleId="647" w:customStyle="1">
    <w:name w:val="Основной текст (5)"/>
    <w:basedOn w:val="636"/>
    <w:link w:val="645"/>
    <w:rPr>
      <w:rFonts w:ascii="Times New Roman" w:hAnsi="Times New Roman" w:cs="Times New Roman" w:eastAsia="Times New Roman"/>
      <w:b/>
      <w:bCs/>
    </w:rPr>
    <w:pPr>
      <w:spacing w:lineRule="exact" w:line="264" w:after="300" w:before="300"/>
      <w:shd w:val="clear" w:fill="FFFFFF" w:color="auto"/>
      <w:widowControl w:val="off"/>
    </w:pPr>
  </w:style>
  <w:style w:type="character" w:styleId="648" w:customStyle="1">
    <w:name w:val="Основной текст (2) + Полужирный"/>
    <w:basedOn w:val="64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shd w:val="clear" w:fill="FFFFFF" w:color="auto"/>
      <w:lang w:val="uk-UA" w:bidi="uk-UA" w:eastAsia="uk-UA"/>
    </w:rPr>
  </w:style>
  <w:style w:type="character" w:styleId="649" w:customStyle="1">
    <w:name w:val="Основной текст (3) + Не полужирный"/>
    <w:basedOn w:val="64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shd w:val="clear" w:fill="FFFFFF" w:color="auto"/>
      <w:lang w:val="uk-UA" w:bidi="uk-UA" w:eastAsia="uk-UA"/>
    </w:rPr>
  </w:style>
  <w:style w:type="table" w:styleId="650">
    <w:name w:val="Table Grid"/>
    <w:basedOn w:val="63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ПРИМАКОВ Геннадій Анатолійович</cp:lastModifiedBy>
  <cp:revision>5</cp:revision>
  <dcterms:created xsi:type="dcterms:W3CDTF">2021-10-27T16:03:00Z</dcterms:created>
  <dcterms:modified xsi:type="dcterms:W3CDTF">2021-10-28T14:12:31Z</dcterms:modified>
</cp:coreProperties>
</file>