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98" w:rsidRDefault="00BD19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38150" cy="6096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</w:p>
    <w:p w:rsidR="00340198" w:rsidRDefault="003401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340198" w:rsidRDefault="00BD19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340198" w:rsidRDefault="003401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340198" w:rsidRDefault="00BD19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340198" w:rsidRDefault="00BD197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340198" w:rsidRDefault="003401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340198" w:rsidRDefault="00BD1976" w:rsidP="006419E6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12 жо</w:t>
      </w:r>
      <w:r w:rsidR="006419E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втня 2021 року</w:t>
      </w:r>
      <w:r w:rsidR="006419E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м. </w:t>
      </w:r>
      <w:proofErr w:type="spellStart"/>
      <w:r w:rsidR="006419E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6419E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№ 292</w:t>
      </w:r>
      <w:bookmarkStart w:id="0" w:name="_GoBack"/>
      <w:bookmarkEnd w:id="0"/>
    </w:p>
    <w:p w:rsidR="00340198" w:rsidRDefault="0034019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198" w:rsidRDefault="00BD197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 погодження Інвестиційної програми № 2 ТОВ «Менський комунальник» у сфері централізованого водопостачання та централізованого водовідведення на 2022 рік</w:t>
      </w:r>
    </w:p>
    <w:p w:rsidR="00340198" w:rsidRDefault="0034019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198" w:rsidRDefault="00BD1976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Інвестиційну програму № 2 «Реконструкція водопровідного вводу з оснащенням будівлі типовим вузлом комерційного обліку води діаметром 32 мм багатоквартирного будинку в колодязі, що </w:t>
      </w:r>
      <w:proofErr w:type="spellStart"/>
      <w:r>
        <w:rPr>
          <w:sz w:val="28"/>
          <w:szCs w:val="28"/>
          <w:lang w:val="uk-UA"/>
        </w:rPr>
        <w:t>проєктується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централізованого водовідведення на 2022 рік, керуючись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водовідведення»,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 наказом Міністерства розвитку громад та територій України від 19.08.2020 № 191, пп.5</w:t>
      </w:r>
      <w:r>
        <w:rPr>
          <w:rFonts w:ascii="Calibri" w:eastAsia="Calibri" w:hAnsi="Calibri" w:cs="Calibri"/>
          <w:color w:val="000000"/>
          <w:sz w:val="28"/>
        </w:rPr>
        <w:t> 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п. «а» ст.27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340198" w:rsidRDefault="00BD1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340198" w:rsidRDefault="00BD1976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2 «Реконструкція водопровідного вводу з оснащенням будівлі типовим вузлом комерційного обліку води діаметром 32 мм багатоквартирного будинку в колодязі, що проектується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 ТОВ «Менський комунальник</w:t>
      </w:r>
      <w:r>
        <w:rPr>
          <w:rFonts w:ascii="Times New Roman" w:eastAsia="Times New Roman" w:hAnsi="Times New Roman" w:cs="Times New Roman"/>
          <w:sz w:val="28"/>
          <w:szCs w:val="28"/>
        </w:rPr>
        <w:t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>опостачання та централізованого водовідведення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  <w:r>
        <w:rPr>
          <w:rFonts w:ascii="san-serif" w:eastAsia="Times New Roman" w:hAnsi="san-serif" w:cs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 загальним обсягом фінансування у сумі 553,98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 без ПДВ згідно з додатком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98" w:rsidRDefault="00BD1976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ТОВ «Менський комунальник»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:rsidR="00340198" w:rsidRDefault="00BD1976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340198" w:rsidRDefault="00340198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40198" w:rsidRDefault="00340198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40198" w:rsidRDefault="00BD1976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bCs/>
          <w:sz w:val="28"/>
          <w:szCs w:val="28"/>
          <w:lang w:val="uk-UA"/>
        </w:rPr>
      </w:pPr>
      <w:r>
        <w:rPr>
          <w:rStyle w:val="rvts11"/>
          <w:rFonts w:eastAsia="Calibri"/>
          <w:bCs/>
          <w:sz w:val="28"/>
          <w:szCs w:val="28"/>
          <w:lang w:val="uk-UA"/>
        </w:rPr>
        <w:t>Міський голова</w:t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  <w:t xml:space="preserve">       Геннадій ПРИМАКОВ</w:t>
      </w:r>
    </w:p>
    <w:sectPr w:rsidR="00340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19" w:rsidRDefault="00E80719">
      <w:pPr>
        <w:spacing w:after="0" w:line="240" w:lineRule="auto"/>
      </w:pPr>
      <w:r>
        <w:separator/>
      </w:r>
    </w:p>
  </w:endnote>
  <w:endnote w:type="continuationSeparator" w:id="0">
    <w:p w:rsidR="00E80719" w:rsidRDefault="00E8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-serif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19" w:rsidRDefault="00E80719">
      <w:pPr>
        <w:spacing w:after="0" w:line="240" w:lineRule="auto"/>
      </w:pPr>
      <w:r>
        <w:separator/>
      </w:r>
    </w:p>
  </w:footnote>
  <w:footnote w:type="continuationSeparator" w:id="0">
    <w:p w:rsidR="00E80719" w:rsidRDefault="00E80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98"/>
    <w:rsid w:val="002201CD"/>
    <w:rsid w:val="00340198"/>
    <w:rsid w:val="006419E6"/>
    <w:rsid w:val="00BD1976"/>
    <w:rsid w:val="00E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84E4"/>
  <w15:docId w15:val="{A7933F56-988B-4C19-9B55-A96FE3C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3</cp:revision>
  <dcterms:created xsi:type="dcterms:W3CDTF">2021-10-11T16:21:00Z</dcterms:created>
  <dcterms:modified xsi:type="dcterms:W3CDTF">2021-10-18T07:03:00Z</dcterms:modified>
</cp:coreProperties>
</file>