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жовт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м.Мена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                              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364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 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pStyle w:val="849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left="0" w:firstLine="709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49"/>
        <w:numPr>
          <w:ilvl w:val="0"/>
          <w:numId w:val="19"/>
        </w:numPr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рахунок зменшення кошторисних призначень спеціального фонду територіального центру Менської міської ради в частині надходжень, що отримують бюджетні установи від підприємств, організацій, фізичних осіб для виконання цільових заходів (код доходів 25020200)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 оплату послуг (крім комунальних)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25000,00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збільшити кошторисні призначення спеціального фонду в частині видатків на придб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ання продуктів харчування на суму 25000,00 грн. (з метою закупівлі картоплі у відділення стаціонарного догляду для постійного або тимчасового проживання).</w:t>
      </w:r>
      <w:r/>
    </w:p>
    <w:p>
      <w:pPr>
        <w:pStyle w:val="849"/>
        <w:ind w:left="0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ab/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3104</w:t>
      </w:r>
      <w:r>
        <w:rPr>
          <w:rFonts w:ascii="Times New Roman" w:hAnsi="Times New Roman" w:cs="Times New Roman"/>
          <w:sz w:val="28"/>
          <w:szCs w:val="28"/>
        </w:rPr>
        <w:t xml:space="preserve"> КЕКВ 2240 -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000,00 грн., КЕКВ 22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0+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000,00 грн.).</w:t>
      </w:r>
      <w:r/>
    </w:p>
    <w:p>
      <w:pPr>
        <w:pStyle w:val="849"/>
        <w:ind w:left="0" w:firstLine="709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  <w:t xml:space="preserve">За рахунок зменшення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територіального центру Менської міської ради в частині </w:t>
      </w:r>
      <w:r>
        <w:rPr>
          <w:rFonts w:ascii="Times New Roman" w:hAnsi="Times New Roman" w:cs="Times New Roman"/>
          <w:sz w:val="28"/>
          <w:szCs w:val="28"/>
        </w:rPr>
        <w:t xml:space="preserve">видатків</w:t>
      </w:r>
      <w:r>
        <w:rPr>
          <w:rFonts w:ascii="Times New Roman" w:hAnsi="Times New Roman" w:cs="Times New Roman"/>
          <w:sz w:val="28"/>
          <w:szCs w:val="28"/>
        </w:rPr>
        <w:t xml:space="preserve"> на оплату послуг (крім комунальних) на суму </w:t>
      </w: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00,00 грн. 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в частині видатків на придбання </w:t>
      </w:r>
      <w:r>
        <w:rPr>
          <w:rFonts w:ascii="Times New Roman" w:hAnsi="Times New Roman" w:cs="Times New Roman"/>
          <w:sz w:val="28"/>
          <w:szCs w:val="28"/>
        </w:rPr>
        <w:t xml:space="preserve">медикаментів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500,00 грн. </w:t>
      </w:r>
      <w:r>
        <w:rPr>
          <w:rFonts w:ascii="Times New Roman" w:hAnsi="Times New Roman" w:cs="Times New Roman"/>
          <w:sz w:val="28"/>
          <w:szCs w:val="28"/>
        </w:rPr>
        <w:t xml:space="preserve">та в частині видатків на о</w:t>
      </w:r>
      <w:r>
        <w:rPr>
          <w:rFonts w:ascii="Times New Roman" w:hAnsi="Times New Roman" w:cs="Times New Roman"/>
          <w:sz w:val="28"/>
          <w:szCs w:val="28"/>
        </w:rPr>
        <w:t xml:space="preserve">кремі заходи по реалізації державних (рег</w:t>
      </w:r>
      <w:r>
        <w:rPr>
          <w:rFonts w:ascii="Times New Roman" w:hAnsi="Times New Roman" w:cs="Times New Roman"/>
          <w:sz w:val="28"/>
          <w:szCs w:val="28"/>
        </w:rPr>
        <w:t xml:space="preserve">іональних) програм, не віднесених</w:t>
      </w:r>
      <w:r>
        <w:rPr>
          <w:rFonts w:ascii="Times New Roman" w:hAnsi="Times New Roman" w:cs="Times New Roman"/>
          <w:sz w:val="28"/>
          <w:szCs w:val="28"/>
        </w:rPr>
        <w:t xml:space="preserve"> до заходів розвитку</w:t>
      </w:r>
      <w:r>
        <w:rPr>
          <w:rFonts w:ascii="Times New Roman" w:hAnsi="Times New Roman" w:cs="Times New Roman"/>
          <w:sz w:val="28"/>
          <w:szCs w:val="28"/>
        </w:rPr>
        <w:t xml:space="preserve"> на суму 1600,00 грн. (для оплати за навчання опалювачів)</w:t>
      </w:r>
      <w:r/>
    </w:p>
    <w:p>
      <w:pPr>
        <w:pStyle w:val="849"/>
        <w:ind w:left="0" w:firstLine="709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0113104 КЕКВ 2240 -</w:t>
      </w: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00,00 грн., КЕКВ 22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0+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500,00 грн.</w:t>
      </w:r>
      <w:r>
        <w:rPr>
          <w:rFonts w:ascii="Times New Roman" w:hAnsi="Times New Roman" w:cs="Times New Roman"/>
          <w:sz w:val="28"/>
          <w:szCs w:val="28"/>
        </w:rPr>
        <w:t xml:space="preserve">, КЕКВ 2282 +1600,00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49"/>
        <w:numPr>
          <w:ilvl w:val="0"/>
          <w:numId w:val="20"/>
        </w:numPr>
        <w:ind w:left="0" w:firstLine="710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За рахунок зменшення </w:t>
      </w:r>
      <w:r>
        <w:rPr>
          <w:rFonts w:ascii="Times New Roman" w:hAnsi="Times New Roman" w:cs="Times New Roman"/>
          <w:sz w:val="28"/>
          <w:szCs w:val="28"/>
        </w:rPr>
        <w:t xml:space="preserve">кошторисних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на у</w:t>
      </w:r>
      <w:r>
        <w:rPr>
          <w:rFonts w:ascii="Times New Roman" w:hAnsi="Times New Roman" w:cs="Times New Roman"/>
          <w:sz w:val="28"/>
          <w:szCs w:val="28"/>
        </w:rPr>
        <w:t xml:space="preserve">тримання та забезпечення діяльності центрів соціальних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в 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видатків на </w:t>
      </w:r>
      <w:r>
        <w:rPr>
          <w:rFonts w:ascii="Times New Roman" w:hAnsi="Times New Roman" w:cs="Times New Roman"/>
          <w:sz w:val="28"/>
          <w:szCs w:val="28"/>
        </w:rPr>
        <w:t xml:space="preserve">оплат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послуг (</w:t>
      </w:r>
      <w:r>
        <w:rPr>
          <w:rFonts w:ascii="Times New Roman" w:hAnsi="Times New Roman" w:cs="Times New Roman"/>
          <w:sz w:val="28"/>
          <w:szCs w:val="28"/>
        </w:rPr>
        <w:t xml:space="preserve">крім комунальних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16000,00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збільшити кошторисн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призначен</w:t>
      </w:r>
      <w:r>
        <w:rPr>
          <w:rFonts w:ascii="Times New Roman" w:hAnsi="Times New Roman" w:cs="Times New Roman"/>
          <w:sz w:val="28"/>
          <w:szCs w:val="28"/>
        </w:rPr>
        <w:t xml:space="preserve">ня 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видатків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оплату за електроенергію </w:t>
      </w:r>
      <w:r>
        <w:rPr>
          <w:rFonts w:ascii="Times New Roman" w:hAnsi="Times New Roman" w:cs="Times New Roman"/>
          <w:sz w:val="28"/>
          <w:szCs w:val="28"/>
        </w:rPr>
        <w:t xml:space="preserve">на суму 1000,00 грн. </w:t>
      </w:r>
      <w:r>
        <w:rPr>
          <w:rFonts w:ascii="Times New Roman" w:hAnsi="Times New Roman" w:cs="Times New Roman"/>
          <w:sz w:val="28"/>
          <w:szCs w:val="28"/>
        </w:rPr>
        <w:t xml:space="preserve">та в частині видатків на оплату за природній газ на суму 15000,00 грн.</w:t>
      </w:r>
      <w:r/>
    </w:p>
    <w:p>
      <w:pPr>
        <w:pStyle w:val="849"/>
        <w:ind w:left="0" w:firstLine="710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1"/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3121</w:t>
      </w:r>
      <w:r>
        <w:rPr>
          <w:rFonts w:ascii="Times New Roman" w:hAnsi="Times New Roman" w:cs="Times New Roman"/>
          <w:sz w:val="28"/>
          <w:szCs w:val="28"/>
        </w:rPr>
        <w:t xml:space="preserve"> КЕКВ 2240 -16000,00 грн., КЕКВ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73</w:t>
      </w:r>
      <w:r>
        <w:rPr>
          <w:rFonts w:ascii="Times New Roman" w:hAnsi="Times New Roman" w:cs="Times New Roman"/>
          <w:sz w:val="28"/>
          <w:szCs w:val="28"/>
        </w:rPr>
        <w:t xml:space="preserve">+1000,00 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, КЕКВ 2274 +15000,00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49"/>
        <w:numPr>
          <w:ilvl w:val="0"/>
          <w:numId w:val="20"/>
        </w:numPr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1"/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рахунок зменшення </w:t>
      </w:r>
      <w:r>
        <w:rPr>
          <w:rFonts w:ascii="Times New Roman" w:hAnsi="Times New Roman" w:cs="Times New Roman"/>
          <w:sz w:val="28"/>
          <w:szCs w:val="28"/>
        </w:rPr>
        <w:t xml:space="preserve">кошторисних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 загального фонду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 межах фінансування Програми підтримки розвитку місцевого самоврядування на території Менської міської територіальної громади на 2021 – 2022 роки </w:t>
      </w:r>
      <w:r>
        <w:rPr>
          <w:rFonts w:ascii="Times New Roman" w:hAnsi="Times New Roman" w:cs="Times New Roman"/>
          <w:sz w:val="28"/>
          <w:szCs w:val="28"/>
        </w:rPr>
        <w:t xml:space="preserve">в частині </w:t>
      </w:r>
      <w:r>
        <w:rPr>
          <w:rFonts w:ascii="Times New Roman" w:hAnsi="Times New Roman" w:cs="Times New Roman"/>
          <w:sz w:val="28"/>
          <w:szCs w:val="28"/>
        </w:rPr>
        <w:t xml:space="preserve">видатків на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 та матеріалів на суму </w:t>
      </w:r>
      <w:r>
        <w:rPr>
          <w:rFonts w:ascii="Times New Roman" w:hAnsi="Times New Roman" w:cs="Times New Roman"/>
          <w:sz w:val="28"/>
          <w:szCs w:val="28"/>
        </w:rPr>
        <w:t xml:space="preserve">5000</w:t>
      </w:r>
      <w:r>
        <w:rPr>
          <w:rFonts w:ascii="Times New Roman" w:hAnsi="Times New Roman" w:cs="Times New Roman"/>
          <w:sz w:val="28"/>
          <w:szCs w:val="28"/>
        </w:rPr>
        <w:t xml:space="preserve">,00 грн. збільшити </w:t>
      </w:r>
      <w:r>
        <w:rPr>
          <w:rFonts w:ascii="Times New Roman" w:hAnsi="Times New Roman" w:cs="Times New Roman"/>
          <w:sz w:val="28"/>
          <w:szCs w:val="28"/>
        </w:rPr>
        <w:t xml:space="preserve">кошторисні призначення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в частині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 (крім комунальних) на суму </w:t>
      </w:r>
      <w:r>
        <w:rPr>
          <w:rFonts w:ascii="Times New Roman" w:hAnsi="Times New Roman" w:cs="Times New Roman"/>
          <w:sz w:val="28"/>
          <w:szCs w:val="28"/>
        </w:rPr>
        <w:t xml:space="preserve">5000</w:t>
      </w:r>
      <w:r>
        <w:rPr>
          <w:rFonts w:ascii="Times New Roman" w:hAnsi="Times New Roman" w:cs="Times New Roman"/>
          <w:sz w:val="28"/>
          <w:szCs w:val="28"/>
        </w:rPr>
        <w:t xml:space="preserve">,00 грн. (з метою оплати послуг </w:t>
      </w:r>
      <w:r>
        <w:rPr>
          <w:rFonts w:ascii="Times New Roman" w:hAnsi="Times New Roman" w:cs="Times New Roman"/>
          <w:sz w:val="28"/>
          <w:szCs w:val="28"/>
        </w:rPr>
        <w:t xml:space="preserve">мобільного харчування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49"/>
        <w:ind w:left="0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1"/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0150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5000</w:t>
      </w:r>
      <w:r>
        <w:rPr>
          <w:rFonts w:ascii="Times New Roman" w:hAnsi="Times New Roman" w:cs="Times New Roman"/>
          <w:sz w:val="28"/>
          <w:szCs w:val="28"/>
        </w:rPr>
        <w:t xml:space="preserve">,00 грн., КЕКВ 2240 +5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00,00 грн.).</w:t>
      </w:r>
      <w:r/>
    </w:p>
    <w:p>
      <w:pPr>
        <w:pStyle w:val="849"/>
        <w:numPr>
          <w:ilvl w:val="0"/>
          <w:numId w:val="20"/>
        </w:numPr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1"/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рахунок зменшення </w:t>
      </w:r>
      <w:r>
        <w:rPr>
          <w:rFonts w:ascii="Times New Roman" w:hAnsi="Times New Roman" w:cs="Times New Roman"/>
          <w:sz w:val="28"/>
          <w:szCs w:val="28"/>
        </w:rPr>
        <w:t xml:space="preserve">кошторисних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 загального фонду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апарату управління</w:t>
      </w:r>
      <w:r>
        <w:rPr>
          <w:rFonts w:ascii="Times New Roman" w:hAnsi="Times New Roman" w:cs="Times New Roman"/>
          <w:sz w:val="28"/>
          <w:szCs w:val="28"/>
        </w:rPr>
        <w:t xml:space="preserve"> в частині </w:t>
      </w:r>
      <w:r>
        <w:rPr>
          <w:rFonts w:ascii="Times New Roman" w:hAnsi="Times New Roman" w:cs="Times New Roman"/>
          <w:sz w:val="28"/>
          <w:szCs w:val="28"/>
        </w:rPr>
        <w:t xml:space="preserve">видатків на </w:t>
      </w:r>
      <w:r>
        <w:rPr>
          <w:rFonts w:ascii="Times New Roman" w:hAnsi="Times New Roman" w:cs="Times New Roman"/>
          <w:sz w:val="28"/>
          <w:szCs w:val="28"/>
        </w:rPr>
        <w:t xml:space="preserve">оплат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 електроенергію на суму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0000,00 грн. збільшити </w:t>
      </w:r>
      <w:r>
        <w:rPr>
          <w:rFonts w:ascii="Times New Roman" w:hAnsi="Times New Roman" w:cs="Times New Roman"/>
          <w:sz w:val="28"/>
          <w:szCs w:val="28"/>
        </w:rPr>
        <w:t xml:space="preserve">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</w:t>
      </w:r>
      <w:r>
        <w:rPr>
          <w:rFonts w:ascii="Times New Roman" w:hAnsi="Times New Roman" w:cs="Times New Roman"/>
          <w:sz w:val="28"/>
          <w:szCs w:val="28"/>
        </w:rPr>
        <w:t xml:space="preserve">в 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видатків на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 та матеріалів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0000,00 грн. (</w:t>
      </w:r>
      <w:r>
        <w:rPr>
          <w:rFonts w:ascii="Times New Roman" w:hAnsi="Times New Roman" w:cs="Times New Roman"/>
          <w:sz w:val="28"/>
          <w:szCs w:val="28"/>
        </w:rPr>
        <w:t xml:space="preserve">придбання меблів для сесійної зали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9"/>
        <w:ind w:left="0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1"/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0150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,00 грн., КЕКВ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,00 грн.)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9"/>
        <w:numPr>
          <w:ilvl w:val="0"/>
          <w:numId w:val="20"/>
        </w:numPr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1"/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За рахунок зменшення кошторисних призначень спеціального фонду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по реалізації програм допомоги і грантів Європейського Союзу, урядів іноземних держав, міжнародних організацій, донорських установ в частині видатків на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ридбання обладнання і предметів довгострокового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на суму 41340,00 грн. збільшити кошторисні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спеціального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в частині видатків на придбання предметів та матеріалів на суму 33740,00 грн. та на оплату послуг (крім комунальних) на суму 7600,00 грн. (реалізація проекту «Соціальна пральня» Достойне життя»)</w:t>
      </w:r>
      <w:r/>
    </w:p>
    <w:p>
      <w:pPr>
        <w:pStyle w:val="849"/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1"/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0117700 КЕКВ 3110 -41340,00 грн., КЕКВ 2210 +33740,00 грн., КЕКВ 2240 +7600,00 грн.).</w:t>
      </w:r>
      <w:r/>
    </w:p>
    <w:p>
      <w:pPr>
        <w:pStyle w:val="849"/>
        <w:numPr>
          <w:ilvl w:val="0"/>
          <w:numId w:val="20"/>
        </w:numPr>
        <w:ind w:left="0" w:firstLine="709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1"/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За рахунок зменшення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загального </w:t>
      </w:r>
      <w:r>
        <w:rPr>
          <w:rFonts w:ascii="Times New Roman" w:hAnsi="Times New Roman" w:cs="Times New Roman"/>
          <w:sz w:val="28"/>
          <w:szCs w:val="28"/>
        </w:rPr>
        <w:t xml:space="preserve">фонду </w:t>
      </w:r>
      <w:r>
        <w:rPr>
          <w:rFonts w:ascii="Times New Roman" w:hAnsi="Times New Roman" w:cs="Times New Roman"/>
          <w:sz w:val="28"/>
          <w:szCs w:val="28"/>
        </w:rPr>
        <w:t xml:space="preserve">по з</w:t>
      </w:r>
      <w:r>
        <w:rPr>
          <w:rFonts w:ascii="Times New Roman" w:hAnsi="Times New Roman" w:cs="Times New Roman"/>
          <w:sz w:val="28"/>
          <w:szCs w:val="28"/>
        </w:rPr>
        <w:t xml:space="preserve">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діяльності інших закладів у сфері освіти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придбання предметів та матеріалів на суму  </w:t>
      </w:r>
      <w:r>
        <w:rPr>
          <w:rFonts w:ascii="Times New Roman" w:hAnsi="Times New Roman" w:cs="Times New Roman"/>
          <w:sz w:val="28"/>
          <w:szCs w:val="28"/>
        </w:rPr>
        <w:t xml:space="preserve">43000,00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sz w:val="28"/>
          <w:szCs w:val="28"/>
        </w:rPr>
        <w:t xml:space="preserve"> збільшити кошторисні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в частині видатків на </w:t>
      </w:r>
      <w:r>
        <w:rPr>
          <w:rFonts w:ascii="Times New Roman" w:hAnsi="Times New Roman" w:cs="Times New Roman"/>
          <w:sz w:val="28"/>
          <w:szCs w:val="28"/>
        </w:rPr>
        <w:t xml:space="preserve">придбання медикаментів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 та на оплату послуг (крім комунальних) на суму 40000,00 грн.</w:t>
      </w:r>
      <w:r/>
    </w:p>
    <w:p>
      <w:pPr>
        <w:pStyle w:val="849"/>
        <w:ind w:left="0" w:firstLine="709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1141</w:t>
      </w:r>
      <w:r>
        <w:rPr>
          <w:rFonts w:ascii="Times New Roman" w:hAnsi="Times New Roman" w:cs="Times New Roman"/>
          <w:sz w:val="28"/>
          <w:szCs w:val="28"/>
        </w:rPr>
        <w:t xml:space="preserve"> КЕКВ 2210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43</w:t>
      </w:r>
      <w:r>
        <w:rPr>
          <w:rFonts w:ascii="Times New Roman" w:hAnsi="Times New Roman" w:cs="Times New Roman"/>
          <w:sz w:val="28"/>
          <w:szCs w:val="28"/>
        </w:rPr>
        <w:t xml:space="preserve">000,00 грн., КЕКВ 22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 +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000,00 грн.</w:t>
      </w:r>
      <w:r>
        <w:rPr>
          <w:rFonts w:ascii="Times New Roman" w:hAnsi="Times New Roman" w:cs="Times New Roman"/>
          <w:sz w:val="28"/>
          <w:szCs w:val="28"/>
        </w:rPr>
        <w:t xml:space="preserve">, КЕКВ 2240 +40000,00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49"/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А.П.</w:t>
      </w:r>
      <w:r>
        <w:rPr>
          <w:rFonts w:ascii="Times New Roman" w:hAnsi="Times New Roman" w:cs="Times New Roman"/>
          <w:sz w:val="28"/>
          <w:szCs w:val="28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  <w:pBdr>
          <w:top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cs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19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4"/>
    <w:link w:val="697"/>
    <w:uiPriority w:val="10"/>
    <w:rPr>
      <w:sz w:val="48"/>
      <w:szCs w:val="48"/>
    </w:rPr>
  </w:style>
  <w:style w:type="character" w:styleId="35">
    <w:name w:val="Subtitle Char"/>
    <w:basedOn w:val="684"/>
    <w:link w:val="699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41">
    <w:name w:val="Header Char"/>
    <w:basedOn w:val="684"/>
    <w:link w:val="705"/>
    <w:uiPriority w:val="99"/>
  </w:style>
  <w:style w:type="character" w:styleId="43">
    <w:name w:val="Footer Char"/>
    <w:basedOn w:val="684"/>
    <w:link w:val="707"/>
    <w:uiPriority w:val="99"/>
  </w:style>
  <w:style w:type="paragraph" w:styleId="44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7"/>
    <w:uiPriority w:val="99"/>
  </w:style>
  <w:style w:type="character" w:styleId="174">
    <w:name w:val="Footnote Text Char"/>
    <w:link w:val="836"/>
    <w:uiPriority w:val="99"/>
    <w:rPr>
      <w:sz w:val="18"/>
    </w:rPr>
  </w:style>
  <w:style w:type="paragraph" w:styleId="176">
    <w:name w:val="endnote text"/>
    <w:basedOn w:val="67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4"/>
    <w:uiPriority w:val="99"/>
    <w:semiHidden/>
    <w:unhideWhenUsed/>
    <w:rPr>
      <w:vertAlign w:val="superscript"/>
    </w:rPr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pPr>
      <w:spacing w:lineRule="auto" w:line="276" w:after="200"/>
    </w:pPr>
  </w:style>
  <w:style w:type="paragraph" w:styleId="675">
    <w:name w:val="Heading 1"/>
    <w:basedOn w:val="674"/>
    <w:next w:val="674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6">
    <w:name w:val="Heading 2"/>
    <w:basedOn w:val="674"/>
    <w:next w:val="674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7">
    <w:name w:val="Heading 3"/>
    <w:basedOn w:val="674"/>
    <w:next w:val="674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8">
    <w:name w:val="Heading 4"/>
    <w:basedOn w:val="674"/>
    <w:next w:val="674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9">
    <w:name w:val="Heading 5"/>
    <w:basedOn w:val="674"/>
    <w:next w:val="674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0">
    <w:name w:val="Heading 6"/>
    <w:basedOn w:val="674"/>
    <w:next w:val="674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1">
    <w:name w:val="Heading 7"/>
    <w:basedOn w:val="674"/>
    <w:next w:val="674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2">
    <w:name w:val="Heading 8"/>
    <w:basedOn w:val="674"/>
    <w:next w:val="674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3">
    <w:name w:val="Heading 9"/>
    <w:basedOn w:val="674"/>
    <w:next w:val="67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1 Знак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84"/>
    <w:link w:val="676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74"/>
    <w:next w:val="674"/>
    <w:link w:val="6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8" w:customStyle="1">
    <w:name w:val="Название Знак"/>
    <w:basedOn w:val="684"/>
    <w:link w:val="697"/>
    <w:uiPriority w:val="10"/>
    <w:rPr>
      <w:sz w:val="48"/>
      <w:szCs w:val="48"/>
    </w:rPr>
  </w:style>
  <w:style w:type="paragraph" w:styleId="699">
    <w:name w:val="Subtitle"/>
    <w:basedOn w:val="674"/>
    <w:next w:val="674"/>
    <w:link w:val="700"/>
    <w:qFormat/>
    <w:uiPriority w:val="11"/>
    <w:rPr>
      <w:sz w:val="24"/>
      <w:szCs w:val="24"/>
    </w:rPr>
    <w:pPr>
      <w:spacing w:before="200"/>
    </w:pPr>
  </w:style>
  <w:style w:type="character" w:styleId="700" w:customStyle="1">
    <w:name w:val="Подзаголовок Знак"/>
    <w:basedOn w:val="684"/>
    <w:link w:val="699"/>
    <w:uiPriority w:val="11"/>
    <w:rPr>
      <w:sz w:val="24"/>
      <w:szCs w:val="24"/>
    </w:rPr>
  </w:style>
  <w:style w:type="paragraph" w:styleId="701">
    <w:name w:val="Quote"/>
    <w:basedOn w:val="674"/>
    <w:next w:val="674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74"/>
    <w:next w:val="674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Выделенная цитата Знак"/>
    <w:link w:val="703"/>
    <w:uiPriority w:val="30"/>
    <w:rPr>
      <w:i/>
    </w:rPr>
  </w:style>
  <w:style w:type="paragraph" w:styleId="705">
    <w:name w:val="Header"/>
    <w:basedOn w:val="674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ий колонтитул Знак"/>
    <w:basedOn w:val="684"/>
    <w:link w:val="705"/>
    <w:uiPriority w:val="99"/>
  </w:style>
  <w:style w:type="paragraph" w:styleId="707">
    <w:name w:val="Footer"/>
    <w:basedOn w:val="674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Нижний колонтитул Знак"/>
    <w:basedOn w:val="684"/>
    <w:link w:val="707"/>
    <w:uiPriority w:val="99"/>
  </w:style>
  <w:style w:type="table" w:styleId="709">
    <w:name w:val="Table Grid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9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0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1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2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3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4" w:customStyle="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3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 w:customStyle="1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4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5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6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7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8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9" w:customStyle="1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2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4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6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7" w:customStyle="1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6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7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8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9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0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1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3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4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5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6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7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8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0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1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2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3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4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74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84"/>
    <w:uiPriority w:val="99"/>
    <w:unhideWhenUsed/>
    <w:rPr>
      <w:vertAlign w:val="superscript"/>
    </w:rPr>
  </w:style>
  <w:style w:type="paragraph" w:styleId="839">
    <w:name w:val="toc 1"/>
    <w:basedOn w:val="674"/>
    <w:next w:val="674"/>
    <w:uiPriority w:val="39"/>
    <w:unhideWhenUsed/>
    <w:pPr>
      <w:spacing w:after="57"/>
    </w:pPr>
  </w:style>
  <w:style w:type="paragraph" w:styleId="840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1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2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3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4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45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46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47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List Paragraph"/>
    <w:basedOn w:val="674"/>
    <w:qFormat/>
    <w:uiPriority w:val="34"/>
    <w:pPr>
      <w:contextualSpacing w:val="true"/>
      <w:ind w:left="720"/>
    </w:pPr>
  </w:style>
  <w:style w:type="paragraph" w:styleId="850">
    <w:name w:val="Balloon Text"/>
    <w:basedOn w:val="674"/>
    <w:link w:val="85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1" w:customStyle="1">
    <w:name w:val="Текст выноски Знак"/>
    <w:basedOn w:val="684"/>
    <w:link w:val="85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0272BA-955D-4EA1-9BD1-2CC487EB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Жураковська Альона Володимирівна</cp:lastModifiedBy>
  <cp:revision>182</cp:revision>
  <dcterms:created xsi:type="dcterms:W3CDTF">2020-12-28T06:47:00Z</dcterms:created>
  <dcterms:modified xsi:type="dcterms:W3CDTF">2021-10-13T13:38:41Z</dcterms:modified>
</cp:coreProperties>
</file>