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29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344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0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0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Кабінету Міністрів України  від 31.01.2007 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«Про затвердження 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</w:t>
      </w:r>
      <w:r>
        <w:rPr>
          <w:rFonts w:cs="Times New Roman"/>
          <w:sz w:val="28"/>
          <w:szCs w:val="28"/>
          <w:lang w:val="uk-UA"/>
        </w:rPr>
        <w:t xml:space="preserve">94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 надання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матеріальної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допомоги на поховання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осіб, які не досягли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пенсійного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внесеними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скликання від 2</w:t>
      </w:r>
      <w:r>
        <w:rPr>
          <w:color w:val="000000"/>
          <w:sz w:val="28"/>
          <w:szCs w:val="28"/>
          <w:lang w:val="uk-UA"/>
        </w:rPr>
        <w:t xml:space="preserve">3 грудня 2020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45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rFonts w:cs="Times New Roman"/>
          <w:sz w:val="28"/>
          <w:szCs w:val="28"/>
          <w:lang w:val="uk-UA"/>
        </w:rPr>
        <w:t xml:space="preserve">Про внесення змін до Програми про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на 2020-2022 роки.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Зезуль Ніни Анатоліївни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Максаки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та Скоробагатько Ольги Миколаївни ( с. Покровське):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5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допомогу:</w:t>
      </w:r>
      <w:r/>
    </w:p>
    <w:p>
      <w:pPr>
        <w:pStyle w:val="850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Зезуль Ніні Анатоліївні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колишнього чоловіка </w:t>
      </w:r>
      <w:r>
        <w:rPr>
          <w:color w:val="000000"/>
          <w:sz w:val="28"/>
          <w:szCs w:val="28"/>
          <w:lang w:val="uk-UA"/>
        </w:rPr>
        <w:t xml:space="preserve">Зезуля Сергія Миколайовича;</w:t>
      </w:r>
      <w:r/>
    </w:p>
    <w:p>
      <w:pPr>
        <w:pStyle w:val="850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Скоробагатько Ользі Миколаївні у розмірі 1000,00 грн. на поховання сина Скоробагатька Олега Петровича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0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3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48</cp:revision>
  <dcterms:created xsi:type="dcterms:W3CDTF">2021-06-02T06:48:00Z</dcterms:created>
  <dcterms:modified xsi:type="dcterms:W3CDTF">2021-09-29T09:29:10Z</dcterms:modified>
</cp:coreProperties>
</file>