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1739" cy="652841"/>
                <wp:effectExtent l="0" t="0" r="0" b="0"/>
                <wp:docPr id="1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461739" cy="652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4pt;height:51.4pt;">
                <v:path textboxrect="0,0,0,0"/>
                <v:imagedata r:id="rId11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</w:p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</w:p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ВИКОНАВЧИЙ КОМІТЕТ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ПРОЄКТ РІШЕННЯ</w:t>
      </w:r>
      <w:r>
        <w:rPr>
          <w:lang w:val="uk-UA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426" w:hanging="381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 вересня 2021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№___</w:t>
      </w:r>
      <w:r>
        <w:rPr>
          <w:lang w:val="uk-UA"/>
        </w:rPr>
      </w:r>
      <w:r/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0" w:right="5953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проведення конкурсу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«Бренд Менської громади»</w:t>
      </w:r>
      <w:r>
        <w:rPr>
          <w:lang w:val="uk-UA"/>
        </w:rPr>
      </w:r>
      <w:r/>
    </w:p>
    <w:p>
      <w:pPr>
        <w:ind w:right="5102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З метою ідентифікації Менської громади, </w:t>
      </w:r>
      <w:r>
        <w:rPr>
          <w:sz w:val="28"/>
          <w:szCs w:val="28"/>
          <w:lang w:val="uk-UA"/>
        </w:rPr>
        <w:t xml:space="preserve">підкреслення її автентичності</w:t>
      </w:r>
      <w:r>
        <w:rPr>
          <w:sz w:val="28"/>
          <w:szCs w:val="28"/>
          <w:lang w:val="uk-UA"/>
        </w:rPr>
        <w:t xml:space="preserve">, створення власного іміджу, що допомагає вирізнятись серед інших громад, звертати увагу на свої особливості, а відтак, надає можливість ефективніше розвиватися місце</w:t>
      </w:r>
      <w:r>
        <w:rPr>
          <w:sz w:val="28"/>
          <w:szCs w:val="28"/>
          <w:lang w:val="uk-UA"/>
        </w:rPr>
        <w:t xml:space="preserve">вій </w:t>
      </w:r>
      <w:r>
        <w:rPr>
          <w:sz w:val="28"/>
          <w:szCs w:val="28"/>
          <w:lang w:val="uk-UA"/>
        </w:rPr>
        <w:t xml:space="preserve">економіці, поліпшувати імідж громади на місцевому і національному рівнях, залучати інвестиції та співпрацювати з новими підприємствами, зберігати і розширювати діючі підприємства, сприяти просуванню місцевих програм, відповідно до вимог чинного законодавст</w:t>
      </w:r>
      <w:r>
        <w:rPr>
          <w:sz w:val="28"/>
          <w:szCs w:val="28"/>
          <w:lang w:val="uk-UA"/>
        </w:rPr>
        <w:t xml:space="preserve">ва України, керуючись статтями 4, 50 Закону України «Про місцеве самоврядування в Україні»</w:t>
      </w:r>
      <w:r>
        <w:rPr>
          <w:lang w:val="uk-UA"/>
        </w:rPr>
        <w:t xml:space="preserve"> виконавчий комітет Менської міської ради</w:t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ВИРІШИВ:</w:t>
      </w:r>
      <w:r>
        <w:rPr>
          <w:b w:val="false"/>
          <w:lang w:val="uk-UA"/>
        </w:rPr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Провести в Менській громаді конкурс «Бренд Менської громади (емблема та гасло).</w:t>
      </w:r>
      <w:r>
        <w:rPr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Затвердити Положення про створення «Бренду Менської громади» відповідно до додатку.</w:t>
      </w:r>
      <w:r>
        <w:rPr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Доручити міському голові затвердити персональний склад робочої групи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розробки бренду Менської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Контроль за виконанням даного рішення покласти на заступників міського голови з питань діяльності виконавчих органів ради С.М.Гаєвого та В.В. Прищепу.</w:t>
      </w:r>
      <w:r>
        <w:rPr>
          <w:lang w:val="uk-UA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</w:t>
      </w:r>
      <w:r/>
    </w:p>
    <w:p>
      <w:pPr>
        <w:ind w:left="5669" w:right="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виконавчого комітету Менської міської ради 28.09.2021 №____</w:t>
      </w:r>
      <w:r>
        <w:rPr>
          <w:lang w:val="uk-UA"/>
        </w:rPr>
      </w:r>
      <w:r/>
    </w:p>
    <w:p>
      <w:pPr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«Бренду Менської громади»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проведення конкурсу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ЗАГАЛЬНІ ПОЛОЖЕННЯ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1.1. Положення про конкурс «Розробка бренду Менської громади» (далі - Конкурс) визначає єдині вимоги щодо визначення кращого логотипу Менської громади (емблема та гасло).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1.2. Логотип – будь-яка комбінація позначень (емблема, слова, літери, цифри, зображу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вальні елементи, комбінації кольорів), яка здатна передати унікальність та ідентифікувати територіальну громаду серед інших; постійний графічний, словесний, образотворчий або об'ємний знак, комбінований з зображенням, літерами, цифрами, словами або без 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1.3. Логотип не замінює офіційну символіку територіальної громади (герб і прапор).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2.МЕТА І ЗАВДАННЯ КОНКУРСУ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2.1. Конкурс проводиться з метою створення та визначення найкращого логотипу Менської громади, який буде використаний в рекламних, промоційних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інших заходах, спрямований на формування позитивного іміджу Менської громади в Україні та за кордоном, покращення використання культурного, туристичного, економічного та соціального потенціалу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2.2.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Завданнями Конкурсу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є: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1923018456"/>
          <w:tag w:val="goog_rdk_0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залучення максимальн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ої кількості учасників до розробки логотипу громади;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1901240550"/>
          <w:tag w:val="goog_rdk_1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поширення інформації про Менську громаду як туристично та інвестиційно привабливу територію на Чернігівщині;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54167081"/>
          <w:tag w:val="goog_rdk_2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збільшення привабливості Менської громади на українській та міжнародній туристичній арені;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2139983407"/>
          <w:tag w:val="goog_rdk_3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розроблення та створення унікального логотипу Менської громади.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3.УМОВИ ТА ПОРЯДОК ПРОВЕДЕННЯ КОНКУРСУ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3.1. Для організації та проведення Конкурсу, а також оголошення його результатів, рішенням виконавчого комітету Менської міської ради створюється робоча група з питань розробки бренду Менської громади та затверджується її персональний та кількісний склад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(далі – Робоча група), який затверджує голову, заступника, секретаря.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також виконує функції журі.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3.2. Засідання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є легітимним, якщо на ньому присутні більше половини його складу.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3.3. Рішення приймається більшістю від присутніх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членів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які 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одночасно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і членами журі, відкритим голосуванням. У разі рівного розподілу голосів головуючий має право вирішального голосу.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3.4. Результати 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Робочої групи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оформлюються протоколом засідання.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3.5. Протокол засідання містить інформацію: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286944109"/>
          <w:tag w:val="goog_rdk_4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дату, час та місце проведення;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1621987132"/>
          <w:tag w:val="goog_rdk_5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прізвища, імена та по батькові членів журі;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1985733738"/>
          <w:tag w:val="goog_rdk_6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прізвища, імена та по батькові конкурсантів;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554057260"/>
          <w:tag w:val="goog_rdk_7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результати голосування.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3.6. Основною формою 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є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3.7. Члени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2136858545"/>
          <w:tag w:val="goog_rdk_8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беруть участь в обговоренні, розгляді конкурсних пропозицій мають право на ознайомлення з усіма матеріалами, поданими на Конкурс;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987619676"/>
          <w:tag w:val="goog_rdk_9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забезпечують прийняття рішення про визначення переможця Конкурсу;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763224040"/>
          <w:tag w:val="goog_rdk_10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зобов’язані дотримуватися норм законодавства, об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’єктивно та неупереджено розглядати конкурсні пропозиції; 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sdt>
        <w:sdtPr>
          <w15:appearance w15:val="boundingBox"/>
          <w:id w:val="-1890410304"/>
          <w:tag w:val="goog_rdk_11"/>
          <w:rPr>
            <w:rFonts w:ascii="Times New Roman" w:hAnsi="Times New Roman" w:cs="Times New Roman" w:eastAsia="Times New Roman"/>
            <w:sz w:val="28"/>
            <w:lang w:val="uk-UA"/>
          </w:rPr>
        </w:sdtPr>
        <w:sdtContent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−</w:t>
          </w:r>
          <w:r>
            <w:rPr>
              <w:rFonts w:ascii="Times New Roman" w:hAnsi="Times New Roman" w:cs="Times New Roman" w:eastAsia="Times New Roman"/>
              <w:color w:val="000000"/>
              <w:sz w:val="28"/>
              <w:szCs w:val="28"/>
              <w:lang w:val="uk-UA"/>
            </w:rPr>
            <w:t xml:space="preserve"> мають право відхилити конкурсну роботу, якщо вона не відповідає вимогам та суперечить основним засадам і принципам Менської міської територіальної громади та чинному законодавству України.</w:t>
          </w:r>
        </w:sdtContent>
      </w:sdt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 У Конкурсі можуть взяти участь як фізичні, так і юридичні особи.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3.9. Участь у конкурсі безкоштовна.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3.10. Конкурс проводиться з 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.10.2021 по 31.1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.2021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3.11. До участі в Конкурсі допускаються конкурсні роботи, які включають такі елементи візуальної 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дентифікації громади: емблема (графічні елементи, образи, шрифти, кольорові рішення), опис (ключова ідея).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3.12. До конкурсних робіт обов’язково додається текстовий файл з відомостями про автора, що включають: прізвище, ім’я, по батькові, вік, місце роботи (навчання), місце проживання, контактні телефони та електронна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адреса.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 надсиланні роботи УкрПоштою вкл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асти конверт з заповненою зворотною адресою.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3.13. Конкурсні роботи надсилаються на розгляд до міської ради в друкованому вигляді на адресу: вул. Героїв АТО, 6, м. Мена,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Чернігівська область, 15600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або в електронному вигляді - на e-mail: </w:t>
      </w:r>
      <w:hyperlink r:id="rId12" w:tooltip="mailto:investradamena@cg.gov.ua" w:history="1">
        <w:r>
          <w:rPr>
            <w:rFonts w:ascii="Times New Roman" w:hAnsi="Times New Roman" w:cs="Times New Roman" w:eastAsia="Times New Roman"/>
            <w:color w:val="1155CC"/>
            <w:sz w:val="28"/>
            <w:szCs w:val="28"/>
            <w:u w:val="single"/>
            <w:lang w:val="uk-UA"/>
          </w:rPr>
          <w:t xml:space="preserve">investradamena@cg.gov.ua</w:t>
        </w:r>
      </w:hyperlink>
      <w:r>
        <w:rPr>
          <w:rFonts w:ascii="Times New Roman" w:hAnsi="Times New Roman" w:cs="Times New Roman" w:eastAsia="Times New Roman"/>
          <w:sz w:val="28"/>
          <w:szCs w:val="3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3.14. Кожен учасник може подати необмежену кількість робіт.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3.15. Кінцевий термін подання конкурсних робіт на участь у Конкурсі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 року.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залишає за собою право продовжити строки на подання конкурсних робіт.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3.16.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не несе відповідальності за несвоєчасне надходження, втрату чи пошкод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ження заявки.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3.17. Конкурсні роботи, які надійдуть несвоєчасно, або не відповідатимуть умовам Конкурсу, або оформлені з порушенням встановлених правил, до участі у Конкурсі не допускаються.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3.18. Конкурсні роботи, подані на Конкурс, не повертаються і не 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цензуються.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3.19.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3.20.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має право безопл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атно, без відшкодування учасникам Конкурсу публікувати їх імена в друкованих матеріалах.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3.21. Факт участі у Конкурсі означає ознайомлення та повну згоду учасників з Положенням про конкурс.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3.22. Конкурсні роботи повинні містити графічне зображення логотип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 роботу орг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анізатору конкурсу (Виконавчому комітету Менської міської територіальної громади) і дає дозвіл на вільне використання його в рекламно-інформаційних та промоційних цілях.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4. ВИМОГИ ДО КОНКУРСНИХ 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4.1. Логотип повинен бути оригінальним за ідеєю та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містом художнього рішення, який відображатиме мету і завдання Конкурсу, бути сучасним, багатогранним графічним елементом.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4.2. Логотип повинен бути унікальним, лаконічним та передавати ключову характеристику Менської міської територіальної громади, ідентифікувати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його на регіональному, національному та міжнародному рівнях, формувати позитивний імідж території при проведенні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ублічних заходів.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4.3. Зображення повинно являти собою логотип, що асоціюється з образом, історією, культурою та традиціями Менської міської територіальної громади, спрямований на підвищення духу патріотизму, любові жителів до громади, формування духовнос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ті, виховання молодого покоління в дусі поваги до історії, народних традицій, звичаїв тощо.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4.4. Логотип повинен відповідати нормам моралі та етики.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4.5. Логотип повинен бути максимально спрощеним для виготовлення, без перевантаження зайвою інформацією.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4.6. Логотип повинен бути однаково естетично привабливим як в кольоровому (художньому), так і чорно-білому (графічному) виконанні.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4.7. Проект логоти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пу повинен супроводжуватись описом.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4.8.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фото-, відео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матеріалах, вивісках, веб-ресурсах тощо.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4.9.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4.10. Надання письмового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обґрунтування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змісту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логотипу у паперовому та електронному вигляді.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4.11.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4.12. Технічні вимоги та параметри надаються при можливості.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ТЕХНІЧНІ ВИМОГИ ТА ПАРАМЕТРИ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5.1. Графічне зображення подається на електронних носіях: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5.1.1.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растровому форматі файлів (*jpeg, *tif, *png+альфа);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 Логотип має бути розроблений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-х варіантах зображення: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5.2.1. повнокольорове зображення на білому тлі;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5.2.2. чорно-біле зображення на білому тлі;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5.3. Назва конкурсної роботи (імена файлів) повинна містити прізвище автора та номер варіанту.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6.ВИЗНАЧЕННЯ ПЕРЕМОЖЦІВ КОНКУРСУ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6.1. Конкурс проводиться у 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етапи: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етап – відбірковий (0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) – прийом заявок та концептуальних пропозицій;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ІІ етап - пів-фінал (01.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05.11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Робочої групи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відбір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3-х фіналістів на основі критеріїв оцінки та голосування членів.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ІІІ етап – фінал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08.11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– оприлюднення конкурсних робіт трьох фіналістів та онлайн-голосування за найкращу концептуальну пропозицію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IV етап - обрання переможця шляхом врахування ре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зультатів онлайн голосування (30%) та оцінки конкурсної комісії (70%).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6.2. Оцінювання робіт: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Роботи конкурсантів оцінюються за 100 бальною шкалою.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Конкурсна робота, яка набрала найбільшу кількість голосів в інтернет-опитуванні, отримує додаткових 30 балів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відповідно 20 та 10 додаткових балів за І – ІІ – ІІІ місця відповідно). Сумарна максимальна оцінка 100 балів.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 Алгоритм роботи членів Робочої групи: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right="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6.3.1 Кожен член Робочої групи отримує у електронному вигляді надіслані на конкурс матеріали. До 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 додається оціночний лист (Додаток 2 до Положення).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6.3.2. Ознайомившись із матеріалами, член Робочої групи заповнює оціночний лист відповідно до Критеріїв оцінювання.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6.3.3. Член Робочої групи у спеціальній графі оціночного листа обґрунтовує свій вибір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6.3.4. Заповнений оціночний лист експерт надає секретарю конкурсу у паперовому або сканованому вигляді з особистим підписом.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6.3.5. Результати роботи Робочої групи оформляються протоколом засідання за підписом всіх членів Робочої групи.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6.3.6. Рішення чл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енів Робочої групи фіксується в протоколі секретарем конкурсу.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6.3.7. Протокол засідання містить інформацію: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48"/>
        <w:numPr>
          <w:ilvl w:val="0"/>
          <w:numId w:val="1"/>
        </w:numPr>
        <w:ind w:left="720" w:right="0" w:hanging="153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дату, час та місце проведення;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48"/>
        <w:numPr>
          <w:ilvl w:val="0"/>
          <w:numId w:val="1"/>
        </w:numPr>
        <w:ind w:left="720" w:right="0" w:hanging="153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прізвища, імена та по-батькові членів Робочої групи;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48"/>
        <w:numPr>
          <w:ilvl w:val="0"/>
          <w:numId w:val="1"/>
        </w:numPr>
        <w:ind w:left="720" w:right="0" w:hanging="153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прізвища, імена та по-батькові конкурсантів;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48"/>
        <w:numPr>
          <w:ilvl w:val="0"/>
          <w:numId w:val="1"/>
        </w:numPr>
        <w:ind w:left="720" w:right="0" w:hanging="153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результати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right="2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6.3.8. Умови проведення інтернет опитування визначаються Робочою групою. Рішення про переможця за результатами інтернет-опитування затверджується протоколом Робочої групи.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6.3.9. Переможцем конкурсу стає робота, яка отримала максимальну підсумкову кількіст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 балів за результатами оцінки Робочої групи та інтернет-опитування.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6.3.10. Рішення Робочої групи оскарженню не підлягає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7. ПРИЗОВИЙ ФОНД ТА НАГОРОДЖЕННЯ ПЕРЕМОЖЦІВ КОНКУРСУ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7.1. Оголошення результатів Конкурсу оприлюднюються на офіційному сайті міської ради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https://mena.cg.gov.ua,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та в засобах масової інформації.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Переможець конкурсу отримує диплом, грошову винагороду у розмірі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3 000 (три тисячі) гривень.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участі у нагородженні кращих робіт можуть долучатися і інші підприємства, установи, організації незалежно від форм власності.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8. АВТОРСЬКІ ПРАВА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8.1. Переможець Конкурсу зобов'язаний укласти з Менською міською радою договір про передачу виключних майно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вих авторських та суміжних прав на логотип.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8.2.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8.3. У разі, якщо переможець Конкурсу протягом 5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визначає переможцем наступного за кількістю гол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8.4.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8.5.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Робоча група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не несе ніяких зобов'язань щодо будь-як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их прав третьої сторони.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1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Положення створення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«Бренду Менсь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кої громади» та проведення конкурсу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right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2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Форма заявки на участь у відкритому творчому конкурсі на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визначення розробника бренду і брендбуку для Менської територіальної громади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Прізвище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Ім’я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По-батькові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Місце роботи (навчання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Адреса для листування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Контактний телефон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394" w:leader="none"/>
          <w:tab w:val="left" w:pos="7795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Електронна адреса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2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Положення створення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«Бренду Менської громади» та проведення конкурсу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Бланк оцінювання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робіт учасників відкритого творчого конкурсу на визначення концептуальної ідеї бренду Менської міської територіальної громади, її логот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ипу та слогану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ПІБ члена Робочої групи ___________________________________________</w:t>
      </w:r>
      <w:r>
        <w:rPr>
          <w:lang w:val="uk-UA"/>
        </w:rPr>
      </w:r>
      <w:r/>
    </w:p>
    <w:p>
      <w:pPr>
        <w:ind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__________________________________________________________________ Реєстраційний номер конкурсної роботи________________________________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tbl>
      <w:tblPr>
        <w:tblStyle w:val="823"/>
        <w:tblW w:w="9638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600" w:firstRow="0" w:lastRow="0" w:firstColumn="0" w:lastColumn="0" w:noHBand="1" w:noVBand="1"/>
      </w:tblPr>
      <w:tblGrid>
        <w:gridCol w:w="555"/>
        <w:gridCol w:w="8232"/>
        <w:gridCol w:w="850"/>
      </w:tblGrid>
      <w:tr>
        <w:trPr>
          <w:trHeight w:val="24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t xml:space="preserve">Критерії оцінювання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/>
              </w:rPr>
              <w:t xml:space="preserve">Бали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/>
          </w:p>
        </w:tc>
      </w:tr>
      <w:tr>
        <w:trPr>
          <w:trHeight w:val="14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Оригінальність / унікальність – ідея проекту має бути оригінал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ьною за змістом концептуального та художнього рішення, відповідати меті і завданням Конкурсу; відрізнятись від інших існуючих символів (логотипів, слоганів та ін. знаків інших міст, територій, продуктів, послуг)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47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Конкурентність – проект передавати конкурентні переваги Менській територіальній громаді на міському, регіональному, національному та міжнародному рівнях –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57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Етичність – проект повинен відповідати нормам моралі та етики, не повинен мати двозначних тлумачень - 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Лаконічність – проект повинен бути максимально простим у сприйнятті без перевантаження зайвою інформацією  - 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79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Привабливість – пропонований проект повинен бути однаково естетично привабливим, як в кольоровому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(художньому), так і чорно білому (графічному) виконанні - 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131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Технологічність – проект має відповідати технологічним вимогам (збереження мож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ливості читання при змінах розміру, однаково вдалий вигляд як в кольоровому, так і в монохромному варіанті), бути максимально зручним для виготовлення - 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61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Позитивність – проект повинен формувати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позитивний імідж міста  - )  - до 10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Результати онлайн голосування. Роботи – переможці отримують до 30 балів (відповідно 30 – 20 - 10 додаткових балів за І – ІІ – ІІІ місця відповідно).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  <w:tr>
        <w:trPr>
          <w:trHeight w:val="14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32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Загалом балів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</w:tr>
    </w:tbl>
    <w:p>
      <w:pPr>
        <w:ind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Експертний висновок (особлива думка, зауваження, побажання) 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0"/>
        <w:jc w:val="both"/>
        <w:spacing w:lineRule="auto" w:line="240" w:after="0" w:afterAutospacing="0" w:before="0" w:beforeAutospacing="0"/>
        <w:tabs>
          <w:tab w:val="left" w:pos="4252" w:leader="none"/>
          <w:tab w:val="left" w:pos="5953" w:leader="none"/>
          <w:tab w:val="left" w:pos="6661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Голова робочої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групи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0"/>
        <w:jc w:val="both"/>
        <w:spacing w:lineRule="auto" w:line="240" w:after="0" w:afterAutospacing="0" w:before="0" w:beforeAutospacing="0"/>
        <w:tabs>
          <w:tab w:val="left" w:pos="4252" w:leader="none"/>
          <w:tab w:val="left" w:pos="5953" w:leader="none"/>
          <w:tab w:val="left" w:pos="6661" w:leader="none"/>
          <w:tab w:val="left" w:pos="935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Секретар робочої групи</w:t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u w:val="singl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u w:val="single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3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Положення створення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«Бренду Менської громади» та проведення конкурсу</w:t>
      </w:r>
      <w:r>
        <w:rPr>
          <w:lang w:val="uk-UA"/>
        </w:rPr>
      </w:r>
      <w:r/>
    </w:p>
    <w:p>
      <w:pPr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Заява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1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разі перемоги на відкритому творчому конкурсі на визначення розробника бренду і брендбуку для Менської міської територіальної громади даю згоду та зобов’язуюсь укласти договір про передачу Менській міській раді виключних майнових авторських та суміжних пра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на логотип та гасло, включаючи надання виключного права на дозвіл або заборону його використання.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Підпис, дата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Конкурсант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Georgia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07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08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09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813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813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813"/>
    <w:link w:val="812"/>
    <w:uiPriority w:val="9"/>
    <w:rPr>
      <w:rFonts w:ascii="Arial" w:hAnsi="Arial" w:cs="Arial" w:eastAsia="Arial"/>
      <w:b/>
      <w:bCs/>
      <w:sz w:val="22"/>
      <w:szCs w:val="22"/>
    </w:rPr>
  </w:style>
  <w:style w:type="paragraph" w:styleId="642">
    <w:name w:val="Heading 7"/>
    <w:basedOn w:val="806"/>
    <w:next w:val="806"/>
    <w:link w:val="6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3">
    <w:name w:val="Heading 7 Char"/>
    <w:basedOn w:val="813"/>
    <w:link w:val="6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4">
    <w:name w:val="Heading 8"/>
    <w:basedOn w:val="806"/>
    <w:next w:val="806"/>
    <w:link w:val="6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5">
    <w:name w:val="Heading 8 Char"/>
    <w:basedOn w:val="813"/>
    <w:link w:val="644"/>
    <w:uiPriority w:val="9"/>
    <w:rPr>
      <w:rFonts w:ascii="Arial" w:hAnsi="Arial" w:cs="Arial" w:eastAsia="Arial"/>
      <w:i/>
      <w:iCs/>
      <w:sz w:val="22"/>
      <w:szCs w:val="22"/>
    </w:rPr>
  </w:style>
  <w:style w:type="paragraph" w:styleId="646">
    <w:name w:val="Heading 9"/>
    <w:basedOn w:val="806"/>
    <w:next w:val="806"/>
    <w:link w:val="6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7">
    <w:name w:val="Heading 9 Char"/>
    <w:basedOn w:val="813"/>
    <w:link w:val="646"/>
    <w:uiPriority w:val="9"/>
    <w:rPr>
      <w:rFonts w:ascii="Arial" w:hAnsi="Arial" w:cs="Arial" w:eastAsia="Arial"/>
      <w:i/>
      <w:iCs/>
      <w:sz w:val="21"/>
      <w:szCs w:val="21"/>
    </w:rPr>
  </w:style>
  <w:style w:type="paragraph" w:styleId="648">
    <w:name w:val="List Paragraph"/>
    <w:basedOn w:val="806"/>
    <w:qFormat/>
    <w:uiPriority w:val="34"/>
    <w:pPr>
      <w:contextualSpacing w:val="true"/>
      <w:ind w:left="720"/>
    </w:pPr>
  </w:style>
  <w:style w:type="paragraph" w:styleId="649">
    <w:name w:val="No Spacing"/>
    <w:qFormat/>
    <w:uiPriority w:val="1"/>
    <w:pPr>
      <w:spacing w:lineRule="auto" w:line="240" w:after="0" w:before="0"/>
    </w:pPr>
  </w:style>
  <w:style w:type="character" w:styleId="650">
    <w:name w:val="Title Char"/>
    <w:basedOn w:val="813"/>
    <w:link w:val="817"/>
    <w:uiPriority w:val="10"/>
    <w:rPr>
      <w:sz w:val="48"/>
      <w:szCs w:val="48"/>
    </w:rPr>
  </w:style>
  <w:style w:type="character" w:styleId="651">
    <w:name w:val="Subtitle Char"/>
    <w:basedOn w:val="813"/>
    <w:link w:val="822"/>
    <w:uiPriority w:val="11"/>
    <w:rPr>
      <w:sz w:val="24"/>
      <w:szCs w:val="24"/>
    </w:rPr>
  </w:style>
  <w:style w:type="paragraph" w:styleId="652">
    <w:name w:val="Quote"/>
    <w:basedOn w:val="806"/>
    <w:next w:val="806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806"/>
    <w:next w:val="806"/>
    <w:link w:val="65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paragraph" w:styleId="656">
    <w:name w:val="Header"/>
    <w:basedOn w:val="806"/>
    <w:link w:val="6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57">
    <w:name w:val="Header Char"/>
    <w:basedOn w:val="813"/>
    <w:link w:val="656"/>
    <w:uiPriority w:val="99"/>
  </w:style>
  <w:style w:type="paragraph" w:styleId="658">
    <w:name w:val="Footer"/>
    <w:basedOn w:val="806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59">
    <w:name w:val="Footer Char"/>
    <w:basedOn w:val="813"/>
    <w:link w:val="658"/>
    <w:uiPriority w:val="99"/>
  </w:style>
  <w:style w:type="paragraph" w:styleId="660">
    <w:name w:val="Caption"/>
    <w:basedOn w:val="806"/>
    <w:next w:val="8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1">
    <w:name w:val="Caption Char"/>
    <w:basedOn w:val="660"/>
    <w:link w:val="658"/>
    <w:uiPriority w:val="99"/>
  </w:style>
  <w:style w:type="table" w:styleId="662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3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2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3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4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5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6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7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8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4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6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7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8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9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0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1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2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4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5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7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9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0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2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3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4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5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6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7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8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69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0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1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2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3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4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2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3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4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5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6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7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88">
    <w:name w:val="Hyperlink"/>
    <w:uiPriority w:val="99"/>
    <w:unhideWhenUsed/>
    <w:rPr>
      <w:color w:val="0000FF" w:themeColor="hyperlink"/>
      <w:u w:val="single"/>
    </w:rPr>
  </w:style>
  <w:style w:type="paragraph" w:styleId="789">
    <w:name w:val="footnote text"/>
    <w:basedOn w:val="806"/>
    <w:link w:val="790"/>
    <w:uiPriority w:val="99"/>
    <w:semiHidden/>
    <w:unhideWhenUsed/>
    <w:rPr>
      <w:sz w:val="18"/>
    </w:rPr>
    <w:pPr>
      <w:spacing w:lineRule="auto" w:line="240" w:after="40"/>
    </w:p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3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3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rPr>
      <w:rFonts w:ascii="Times New Roman" w:hAnsi="Times New Roman" w:cs="Times New Roman" w:eastAsia="Times New Roman"/>
      <w:color w:val="000000"/>
      <w:sz w:val="28"/>
      <w:szCs w:val="28"/>
    </w:rPr>
    <w:pPr>
      <w:ind w:left="0" w:right="0" w:firstLine="567"/>
      <w:jc w:val="both"/>
      <w:spacing w:after="0"/>
    </w:pPr>
  </w:style>
  <w:style w:type="paragraph" w:styleId="807">
    <w:name w:val="Heading 1"/>
    <w:basedOn w:val="806"/>
    <w:next w:val="806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08">
    <w:name w:val="Heading 2"/>
    <w:basedOn w:val="806"/>
    <w:next w:val="806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09">
    <w:name w:val="Heading 3"/>
    <w:basedOn w:val="806"/>
    <w:next w:val="806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10">
    <w:name w:val="Heading 4"/>
    <w:basedOn w:val="806"/>
    <w:next w:val="806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11">
    <w:name w:val="Heading 5"/>
    <w:basedOn w:val="806"/>
    <w:next w:val="806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812">
    <w:name w:val="Heading 6"/>
    <w:basedOn w:val="806"/>
    <w:next w:val="806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17">
    <w:name w:val="Title"/>
    <w:basedOn w:val="806"/>
    <w:next w:val="806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818">
    <w:name w:val="Normal (Web)"/>
    <w:basedOn w:val="80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19">
    <w:name w:val="Strong"/>
    <w:basedOn w:val="813"/>
    <w:qFormat/>
    <w:uiPriority w:val="22"/>
    <w:rPr>
      <w:b/>
      <w:bCs/>
    </w:rPr>
  </w:style>
  <w:style w:type="paragraph" w:styleId="820">
    <w:name w:val="Balloon Text"/>
    <w:basedOn w:val="806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у виносці Знак"/>
    <w:basedOn w:val="813"/>
    <w:link w:val="820"/>
    <w:uiPriority w:val="99"/>
    <w:semiHidden/>
    <w:rPr>
      <w:rFonts w:ascii="Tahoma" w:hAnsi="Tahoma" w:cs="Tahoma"/>
      <w:sz w:val="16"/>
      <w:szCs w:val="16"/>
    </w:rPr>
  </w:style>
  <w:style w:type="paragraph" w:styleId="822">
    <w:name w:val="Subtitle"/>
    <w:basedOn w:val="806"/>
    <w:next w:val="806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23" w:customStyle="1">
    <w:name w:val="StGen0"/>
    <w:basedOn w:val="81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mailto:invest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YjI2U5HFRE9om+IdGulyDbnw==">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Четвертакова Наталія Вікторівна</cp:lastModifiedBy>
  <cp:revision>5</cp:revision>
  <dcterms:created xsi:type="dcterms:W3CDTF">2021-09-14T13:52:00Z</dcterms:created>
  <dcterms:modified xsi:type="dcterms:W3CDTF">2021-09-16T12:48:00Z</dcterms:modified>
</cp:coreProperties>
</file>